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inline distT="0" distB="0" distL="0" distR="0">
            <wp:extent cx="2066925" cy="3619500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19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</w:pPr>
      <w:r>
        <w:rPr>
          <w:rFonts w:ascii="Times New Roman" w:hAnsi="Times New Roman"/>
          <w:b w:val="1"/>
          <w:bCs w:val="1"/>
          <w:outline w:val="0"/>
          <w:color w:val="1b3a5c"/>
          <w:sz w:val="60"/>
          <w:szCs w:val="60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Enterprise Project Proposal</w:t>
      </w:r>
    </w:p>
    <w:p>
      <w:pPr>
        <w:pStyle w:val="Body"/>
        <w:bidi w:val="0"/>
      </w:pPr>
      <w:r>
        <w:rPr>
          <w:rFonts w:ascii="Times New Roman" w:hAnsi="Times New Roman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Strategic Roadmap for Enterprise-Wide Transformation</w:t>
      </w:r>
    </w:p>
    <w:p>
      <w:pPr>
        <w:pStyle w:val="Body"/>
        <w:bidi w:val="0"/>
      </w:pPr>
      <w:r>
        <w:rPr>
          <w:outline w:val="0"/>
          <w:color w:val="777777"/>
          <w:u w:color="777777"/>
          <w:rtl w:val="0"/>
          <w:lang w:val="de-DE"/>
          <w14:textFill>
            <w14:solidFill>
              <w14:srgbClr w14:val="777777"/>
            </w14:solidFill>
          </w14:textFill>
        </w:rPr>
        <w:t>Program Management Office   |   2025</w:t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bidi w:val="0"/>
      </w:pPr>
      <w:r>
        <w:rPr/>
        <w:fldChar w:fldCharType="begin" w:fldLock="0"/>
      </w:r>
      <w:r>
        <w:instrText xml:space="preserve"> TOC \o 1-2 </w:instrText>
      </w:r>
      <w:r>
        <w:rPr/>
        <w:fldChar w:fldCharType="separate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1. Executive Summary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2. Project Background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3. Objectives &amp; Scope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4. Proposed Solution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5. Timeline &amp; Milestones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6. Budget Breakdown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it-IT"/>
        </w:rPr>
        <w:t>7. Risk Assessment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</w:rPr>
        <w:t>8. Team &amp; Roles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9. Conclusion &amp; Next Steps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Body"/>
        <w:bidi w:val="0"/>
      </w:pPr>
      <w:r>
        <w:rPr/>
        <w:fldChar w:fldCharType="end" w:fldLock="0"/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bookmarkStart w:name="_Toc" w:id="0"/>
      <w:r>
        <w:rPr>
          <w:rFonts w:cs="Arial Unicode MS" w:eastAsia="Arial Unicode MS"/>
          <w:rtl w:val="0"/>
          <w:lang w:val="en-US"/>
        </w:rPr>
        <w:t>1. Executive Summary</w:t>
      </w:r>
      <w:bookmarkEnd w:id="0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This proposal presents a comprehensive plan for the design, approval, and execution of an enterprise-wide project intended to modernize core operational systems, streamline cross-departmental workflows, and strengthen the organization's competitive position over the next fiscal cycle.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Industry research consistently shows that structured project governance materially improves delivery outcomes; organizations with mature project management practices report significantly higher success rates on strategic initiatives (Project Management Institute, 2021). This proposal adopts that governance discipline throughout.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initiative outlined here is structured around four pillars: clearly defined objectives and scope, a phased implementation timeline, a transparent budget allocation, and a proactive risk management framework. Together, these elements are designed to deliver measurable value while minimizing operational disruption.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Executive sponsorship, cross-functional collaboration, and disciplined change management are identified as the primary success factors, consistent with widely cited findings on enterprise transformation programs (Kotter, 1996).</w:t>
      </w:r>
    </w:p>
    <w:p>
      <w:pPr>
        <w:pStyle w:val="Heading"/>
      </w:pPr>
      <w:bookmarkStart w:name="_Toc1" w:id="1"/>
      <w:r>
        <w:rPr>
          <w:rFonts w:cs="Arial Unicode MS" w:eastAsia="Arial Unicode MS"/>
          <w:rtl w:val="0"/>
          <w:lang w:val="en-US"/>
        </w:rPr>
        <w:t>2. Project Background</w:t>
      </w:r>
      <w:bookmarkEnd w:id="1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Over the past several years, the organization has experienced significant growth in transaction volume, headcount, and system complexity. Legacy processes and disconnected tools have increasingly become a source of inefficiency, duplicated effort, and elevated operational risk.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 recent internal review identified recurring bottlenecks in reporting, approval workflows, and data reconciliation across departments. These findings mirror broader industry trends, where fragmented legacy infrastructure is cited as a leading barrier to digital transformation (Harvard Business Review, 2020).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This proposal responds directly to those findings by consolidating fragmented systems into a unified operating model, supported by modern tooling, standardized processes, and improved data governance.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Without intervention, the organization risks compounding inefficiencies as scale increases further, making the timing of this initiative strategically critical.</w:t>
      </w:r>
    </w:p>
    <w:p>
      <w:pPr>
        <w:pStyle w:val="Heading"/>
      </w:pPr>
      <w:bookmarkStart w:name="_Toc2" w:id="2"/>
      <w:r>
        <w:rPr>
          <w:rFonts w:cs="Arial Unicode MS" w:eastAsia="Arial Unicode MS"/>
          <w:rtl w:val="0"/>
          <w:lang w:val="en-US"/>
        </w:rPr>
        <w:t>3. Objectives &amp; Scope</w:t>
      </w:r>
      <w:bookmarkEnd w:id="2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primary objective of this project is to deliver a unified, scalable operating platform that improves efficiency, transparency, and decision-making capability across the enterprise.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Scope has been deliberately bounded to ensure focus and deliverability within the proposed timeline and budget.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Reduce manual processing time for core workflows by a targeted 30 percent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Consolidate three or more legacy systems into a single integrated platform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Establish standardized reporting and analytics accessible to all business units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Improve cross-departmental data accuracy and reduce reconciliation effort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Deliver a scalable foundation to support future organizational growth</w:t>
      </w:r>
    </w:p>
    <w:p>
      <w:pPr>
        <w:pStyle w:val="List Paragraph"/>
        <w:spacing w:after="120"/>
      </w:pPr>
    </w:p>
    <w:p>
      <w:pPr>
        <w:pStyle w:val="Heading 2"/>
        <w:spacing w:before="400" w:after="160"/>
      </w:pPr>
      <w:r>
        <w:rPr>
          <w:rtl w:val="0"/>
          <w:lang w:val="en-US"/>
        </w:rPr>
        <w:t>3.1 Out of Scope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To protect delivery timelines, the following items are explicitly excluded from this phase: full replacement of peripheral third-party tools not critical to core operations, and expansion into international regulatory frameworks not currently applicable to the organization. These items may be considered in future phases.</w:t>
      </w:r>
    </w:p>
    <w:p>
      <w:pPr>
        <w:pStyle w:val="Heading"/>
      </w:pPr>
      <w:bookmarkStart w:name="_Toc3" w:id="3"/>
      <w:r>
        <w:rPr>
          <w:rFonts w:cs="Arial Unicode MS" w:eastAsia="Arial Unicode MS"/>
          <w:rtl w:val="0"/>
          <w:lang w:val="en-US"/>
        </w:rPr>
        <w:t>4. Proposed Solution</w:t>
      </w:r>
      <w:bookmarkEnd w:id="3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proposed solution consists of a phased platform implementation supported by process redesign and structured change management. This approach follows established best practice, which favors incremental, well-governed rollouts over large single-stage deployments to reduce delivery risk (PMI, 2021).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solution architecture centers on three components: a unified data and workflow platform, integration layers connecting existing critical systems, and a governance layer providing reporting, audit trails, and access controls.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 dedicated change management workstream will run in parallel with technical delivery, ensuring end users are trained, supported, and equipped to adopt new processes with minimal disruption to daily operations.</w:t>
      </w:r>
    </w:p>
    <w:p>
      <w:pPr>
        <w:pStyle w:val="Heading"/>
      </w:pPr>
      <w:bookmarkStart w:name="_Toc4" w:id="4"/>
      <w:r>
        <w:rPr>
          <w:rFonts w:cs="Arial Unicode MS" w:eastAsia="Arial Unicode MS"/>
          <w:rtl w:val="0"/>
          <w:lang w:val="en-US"/>
        </w:rPr>
        <w:t>5. Timeline &amp; Milestones</w:t>
      </w:r>
      <w:bookmarkEnd w:id="4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project is structured across six months, divided into five sequential phases. Each phase concludes with a formal milestone review and executive sign-off before proceeding to the next stage.</w:t>
      </w:r>
    </w:p>
    <w:p>
      <w:pPr>
        <w:pStyle w:val="Standard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Phase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Milestone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Duration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Owner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Phase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Discovery &amp; Requirements Sign-off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Month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Program Management Office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Phase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Solution Design &amp; Architecture Approval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Month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Technical Lead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Phase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Core Platform Build &amp; Integration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Months 3-4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Delivery Team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Phase 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User Acceptance Testing &amp; Training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Month 5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Change Management Lead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Phase 5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Go-Live &amp; Post-Launch Stabilization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Month 6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Program Management Office</w:t>
            </w:r>
          </w:p>
        </w:tc>
      </w:tr>
    </w:tbl>
    <w:p>
      <w:pPr>
        <w:pStyle w:val="Standard"/>
        <w:widowControl w:val="0"/>
      </w:pPr>
    </w:p>
    <w:p>
      <w:pPr>
        <w:pStyle w:val="Standard"/>
        <w:widowControl w:val="0"/>
      </w:pPr>
    </w:p>
    <w:p>
      <w:pPr>
        <w:pStyle w:val="Heading"/>
      </w:pPr>
      <w:bookmarkStart w:name="_Toc5" w:id="5"/>
      <w:r>
        <w:rPr>
          <w:rFonts w:cs="Arial Unicode MS" w:eastAsia="Arial Unicode MS"/>
          <w:rtl w:val="0"/>
          <w:lang w:val="en-US"/>
        </w:rPr>
        <w:t>6. Budget Breakdown</w:t>
      </w:r>
      <w:bookmarkEnd w:id="5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total investment required for this initiative is $500,000 AUD, allocated across five core categories as detailed below. This allocation reflects benchmarked spending patterns for comparable enterprise transformation projects (PMI, 2021).</w:t>
      </w:r>
    </w:p>
    <w:p>
      <w:pPr>
        <w:pStyle w:val="Standard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20"/>
        <w:gridCol w:w="3120"/>
        <w:gridCol w:w="312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312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Category</w:t>
            </w:r>
          </w:p>
        </w:tc>
        <w:tc>
          <w:tcPr>
            <w:tcW w:type="dxa" w:w="312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Allocated Amount (AUD)</w:t>
            </w:r>
          </w:p>
        </w:tc>
        <w:tc>
          <w:tcPr>
            <w:tcW w:type="dxa" w:w="312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% of Total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Personnel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$250,000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50%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Technology &amp; Infrastructure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$120,000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24%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Training &amp; Change Management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$50,000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Contingency Reserve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$50,000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Vendor &amp; Consulting Services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$30,000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6%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Total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$500,000</w:t>
            </w:r>
          </w:p>
        </w:tc>
        <w:tc>
          <w:tcPr>
            <w:tcW w:type="dxa" w:w="312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100%</w:t>
            </w:r>
          </w:p>
        </w:tc>
      </w:tr>
    </w:tbl>
    <w:p>
      <w:pPr>
        <w:pStyle w:val="Standard"/>
        <w:widowControl w:val="0"/>
      </w:pPr>
    </w:p>
    <w:p>
      <w:pPr>
        <w:pStyle w:val="Standard"/>
        <w:widowControl w:val="0"/>
      </w:pPr>
    </w:p>
    <w:p>
      <w:pPr>
        <w:pStyle w:val="Heading"/>
      </w:pPr>
      <w:bookmarkStart w:name="_Toc6" w:id="6"/>
      <w:r>
        <w:rPr>
          <w:rFonts w:cs="Arial Unicode MS" w:eastAsia="Arial Unicode MS"/>
          <w:rtl w:val="0"/>
          <w:lang w:val="it-IT"/>
        </w:rPr>
        <w:t>7. Risk Assessment</w:t>
      </w:r>
      <w:bookmarkEnd w:id="6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 proactive risk management approach has been embedded into the project plan. Consistent with standard risk frameworks, each identified risk is assigned a likelihood, impact rating, and mitigation owner (PMI, 2021).</w:t>
      </w:r>
    </w:p>
    <w:p>
      <w:pPr>
        <w:pStyle w:val="Standard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a-DK"/>
                <w14:textFill>
                  <w14:solidFill>
                    <w14:srgbClr w14:val="FFFFFF"/>
                  </w14:solidFill>
                </w14:textFill>
              </w:rPr>
              <w:t>Risk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Likelihood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Impact</w:t>
            </w:r>
          </w:p>
        </w:tc>
        <w:tc>
          <w:tcPr>
            <w:tcW w:type="dxa" w:w="234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Mitigation Strategy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Scope creep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High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Formal change-control process with executive approval gate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User adoption resistance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Early stakeholder engagement and structured training program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Integration delays with legacy systems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High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Early technical proof-of-concept and dedicated integration sprint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a-DK"/>
                <w14:textFill>
                  <w14:solidFill>
                    <w14:srgbClr w14:val="333333"/>
                  </w14:solidFill>
                </w14:textFill>
              </w:rPr>
              <w:t>Budget overrun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Low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High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10% contingency reserve and monthly budget review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Resource availability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Medium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Cross-training and clearly defined backup resourcing plan</w:t>
            </w:r>
          </w:p>
        </w:tc>
      </w:tr>
    </w:tbl>
    <w:p>
      <w:pPr>
        <w:pStyle w:val="Standard"/>
        <w:widowControl w:val="0"/>
      </w:pPr>
    </w:p>
    <w:p>
      <w:pPr>
        <w:pStyle w:val="Standard"/>
        <w:widowControl w:val="0"/>
      </w:pPr>
    </w:p>
    <w:p>
      <w:pPr>
        <w:pStyle w:val="Heading"/>
      </w:pPr>
      <w:bookmarkStart w:name="_Toc7" w:id="7"/>
      <w:r>
        <w:rPr>
          <w:rFonts w:cs="Arial Unicode MS" w:eastAsia="Arial Unicode MS"/>
          <w:rtl w:val="0"/>
        </w:rPr>
        <w:t>8. Team &amp; Roles</w:t>
      </w:r>
      <w:bookmarkEnd w:id="7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Successful delivery depends on clear accountability across a cross-functional team, structured according to standard program governance practice (PMI, 2021).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Executive Sponsor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Accountable for strategic alignment, funding approval, and removing organizational roadblocks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Program Manager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Owns overall delivery, timeline, budget tracking, and executive reporting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Technical Lead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Responsible for solution architecture, integration design, and technical quality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Change Management Lead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Owns stakeholder communication, training design, and adoption measurement</w:t>
            </w:r>
          </w:p>
        </w:tc>
      </w:tr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Delivery Team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Cross-functional analysts and engineers responsible for build, testing, and deployment</w:t>
            </w:r>
          </w:p>
        </w:tc>
      </w:tr>
    </w:tbl>
    <w:p>
      <w:pPr>
        <w:pStyle w:val="Standard"/>
        <w:widowControl w:val="0"/>
      </w:pPr>
    </w:p>
    <w:p>
      <w:pPr>
        <w:pStyle w:val="Standard"/>
        <w:widowControl w:val="0"/>
      </w:pPr>
    </w:p>
    <w:p>
      <w:pPr>
        <w:pStyle w:val="Heading"/>
      </w:pPr>
      <w:bookmarkStart w:name="_Toc8" w:id="8"/>
      <w:r>
        <w:rPr>
          <w:rFonts w:cs="Arial Unicode MS" w:eastAsia="Arial Unicode MS"/>
          <w:rtl w:val="0"/>
          <w:lang w:val="en-US"/>
        </w:rPr>
        <w:t>9. Conclusion &amp; Next Steps</w:t>
      </w:r>
      <w:bookmarkEnd w:id="8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This proposal outlines a structured, well-governed path to modernizing enterprise operations within a defined six-month timeline and a validated $500,000 AUD budget. The phased approach, combined with proactive risk management and dedicated change support, positions the organization to achieve measurable efficiency gains while limiting disruption.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Organizations that pair strong governance with disciplined change management consistently outperform peers on transformation outcomes (Kotter, 1996; Project Management Institute, 2021), and this plan has been designed with that evidence in mind.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Approval is requested to proceed to Phase 1: Discovery &amp; Requirements, with formal kickoff targeted within two weeks of sign-off.</w:t>
      </w:r>
    </w:p>
    <w:p>
      <w:pPr>
        <w:pStyle w:val="Standard"/>
      </w:pPr>
      <w:r>
        <w:rPr>
          <w:b w:val="1"/>
          <w:bCs w:val="1"/>
          <w:outline w:val="0"/>
          <w:color w:val="1b3a5c"/>
          <w:sz w:val="22"/>
          <w:szCs w:val="22"/>
          <w:u w:color="1b3a5c"/>
          <w:rtl w:val="0"/>
          <w14:textFill>
            <w14:solidFill>
              <w14:srgbClr w14:val="1B3A5C"/>
            </w14:solidFill>
          </w14:textFill>
        </w:rPr>
        <w:t xml:space="preserve">1.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Secure executive sign-off on scope, budget, and timeline</w:t>
      </w:r>
    </w:p>
    <w:p>
      <w:pPr>
        <w:pStyle w:val="Standard"/>
      </w:pPr>
      <w:r>
        <w:rPr>
          <w:b w:val="1"/>
          <w:bCs w:val="1"/>
          <w:outline w:val="0"/>
          <w:color w:val="1b3a5c"/>
          <w:sz w:val="22"/>
          <w:szCs w:val="22"/>
          <w:u w:color="1b3a5c"/>
          <w:rtl w:val="0"/>
          <w14:textFill>
            <w14:solidFill>
              <w14:srgbClr w14:val="1B3A5C"/>
            </w14:solidFill>
          </w14:textFill>
        </w:rPr>
        <w:t xml:space="preserve">2.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Confirm Program Manager and Technical Lead assignments</w:t>
      </w:r>
    </w:p>
    <w:p>
      <w:pPr>
        <w:pStyle w:val="Standard"/>
      </w:pPr>
      <w:r>
        <w:rPr>
          <w:b w:val="1"/>
          <w:bCs w:val="1"/>
          <w:outline w:val="0"/>
          <w:color w:val="1b3a5c"/>
          <w:sz w:val="22"/>
          <w:szCs w:val="22"/>
          <w:u w:color="1b3a5c"/>
          <w:rtl w:val="0"/>
          <w14:textFill>
            <w14:solidFill>
              <w14:srgbClr w14:val="1B3A5C"/>
            </w14:solidFill>
          </w14:textFill>
        </w:rPr>
        <w:t xml:space="preserve">3.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Schedule Phase 1 kickoff workshop with key stakeholders</w:t>
      </w:r>
    </w:p>
    <w:p>
      <w:pPr>
        <w:pStyle w:val="Standard"/>
      </w:pPr>
      <w:r>
        <w:rPr>
          <w:b w:val="1"/>
          <w:bCs w:val="1"/>
          <w:outline w:val="0"/>
          <w:color w:val="1b3a5c"/>
          <w:sz w:val="22"/>
          <w:szCs w:val="22"/>
          <w:u w:color="1b3a5c"/>
          <w:rtl w:val="0"/>
          <w14:textFill>
            <w14:solidFill>
              <w14:srgbClr w14:val="1B3A5C"/>
            </w14:solidFill>
          </w14:textFill>
        </w:rPr>
        <w:t xml:space="preserve">4.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Finalize vendor and consulting engagement agreements</w:t>
      </w:r>
    </w:p>
    <w:p>
      <w:pPr>
        <w:pStyle w:val="Standard"/>
      </w:pPr>
      <w:r>
        <w:rPr>
          <w:b w:val="1"/>
          <w:bCs w:val="1"/>
          <w:outline w:val="0"/>
          <w:color w:val="1b3a5c"/>
          <w:sz w:val="22"/>
          <w:szCs w:val="22"/>
          <w:u w:color="1b3a5c"/>
          <w:rtl w:val="0"/>
          <w14:textFill>
            <w14:solidFill>
              <w14:srgbClr w14:val="1B3A5C"/>
            </w14:solidFill>
          </w14:textFill>
        </w:rPr>
        <w:t xml:space="preserve">5.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Establish monthly steering committee review cadence</w:t>
      </w: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333333"/>
      <w:spacing w:val="0"/>
      <w:kern w:val="0"/>
      <w:position w:val="0"/>
      <w:sz w:val="22"/>
      <w:szCs w:val="22"/>
      <w:u w:val="none" w:color="333333"/>
      <w:shd w:val="nil" w:color="auto" w:fill="auto"/>
      <w:vertAlign w:val="baseline"/>
      <w14:textFill>
        <w14:solidFill>
          <w14:srgbClr w14:val="333333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0" w:after="16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1b3a5c"/>
      <w:spacing w:val="0"/>
      <w:kern w:val="0"/>
      <w:position w:val="0"/>
      <w:sz w:val="32"/>
      <w:szCs w:val="32"/>
      <w:u w:val="none" w:color="1b3a5c"/>
      <w:shd w:val="nil" w:color="auto" w:fill="auto"/>
      <w:vertAlign w:val="baseline"/>
      <w14:textOutline>
        <w14:noFill/>
      </w14:textOutline>
      <w14:textFill>
        <w14:solidFill>
          <w14:srgbClr w14:val="1B3A5C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00" w:line="240" w:lineRule="auto"/>
      <w:ind w:left="24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555555"/>
      <w:spacing w:val="0"/>
      <w:kern w:val="0"/>
      <w:position w:val="0"/>
      <w:sz w:val="22"/>
      <w:szCs w:val="22"/>
      <w:u w:val="none" w:color="555555"/>
      <w:shd w:val="nil" w:color="auto" w:fill="auto"/>
      <w:vertAlign w:val="baseline"/>
      <w14:textFill>
        <w14:solidFill>
          <w14:srgbClr w14:val="555555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320" w:after="140" w:line="240" w:lineRule="auto"/>
      <w:ind w:left="0" w:right="0" w:firstLine="0"/>
      <w:jc w:val="left"/>
      <w:outlineLvl w:val="1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1b3a5c"/>
      <w:spacing w:val="0"/>
      <w:kern w:val="0"/>
      <w:position w:val="0"/>
      <w:sz w:val="26"/>
      <w:szCs w:val="26"/>
      <w:u w:val="none" w:color="1b3a5c"/>
      <w:shd w:val="nil" w:color="auto" w:fill="auto"/>
      <w:vertAlign w:val="baseline"/>
      <w14:textOutline>
        <w14:noFill/>
      </w14:textOutline>
      <w14:textFill>
        <w14:solidFill>
          <w14:srgbClr w14:val="1B3A5C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