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drawing xmlns:a="http://schemas.openxmlformats.org/drawingml/2006/main">
          <wp:inline distT="0" distB="0" distL="0" distR="0">
            <wp:extent cx="2066925" cy="3619500"/>
            <wp:effectExtent l="0" t="0" r="0" b="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619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bidi w:val="0"/>
      </w:pPr>
      <w:r>
        <w:rPr>
          <w:rFonts w:ascii="Times New Roman" w:hAnsi="Times New Roman"/>
          <w:b w:val="1"/>
          <w:bCs w:val="1"/>
          <w:outline w:val="0"/>
          <w:color w:val="1b1f3b"/>
          <w:sz w:val="60"/>
          <w:szCs w:val="60"/>
          <w:u w:color="1b1f3b"/>
          <w:rtl w:val="0"/>
          <w:lang w:val="en-US"/>
          <w14:textFill>
            <w14:solidFill>
              <w14:srgbClr w14:val="1B1F3B"/>
            </w14:solidFill>
          </w14:textFill>
        </w:rPr>
        <w:t>Campaign Marketing Copy</w:t>
      </w:r>
    </w:p>
    <w:p>
      <w:pPr>
        <w:pStyle w:val="Body"/>
        <w:bidi w:val="0"/>
      </w:pPr>
      <w:r>
        <w:rPr>
          <w:rFonts w:ascii="Times New Roman" w:hAnsi="Times New Roman"/>
          <w:i w:val="1"/>
          <w:iCs w:val="1"/>
          <w:outline w:val="0"/>
          <w:color w:val="555555"/>
          <w:sz w:val="30"/>
          <w:szCs w:val="30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>Punchy Copy. Bold Voice. Real Results.</w:t>
      </w:r>
    </w:p>
    <w:p>
      <w:pPr>
        <w:pStyle w:val="Body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bidi w:val="0"/>
      </w:pPr>
      <w:r>
        <w:rPr/>
        <w:fldChar w:fldCharType="begin" w:fldLock="0"/>
      </w:r>
      <w:r>
        <w:instrText xml:space="preserve"> TOC \o 1-2 </w:instrText>
      </w:r>
      <w:r>
        <w:rPr/>
        <w:fldChar w:fldCharType="separate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Campaign Overview</w:t>
        <w:tab/>
      </w:r>
      <w:r>
        <w:rPr/>
        <w:fldChar w:fldCharType="begin" w:fldLock="0"/>
      </w:r>
      <w:r>
        <w:instrText xml:space="preserve"> PAGEREF _Toc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Brand Voice &amp; Tone Guide</w:t>
        <w:tab/>
      </w:r>
      <w:r>
        <w:rPr/>
        <w:fldChar w:fldCharType="begin" w:fldLock="0"/>
      </w:r>
      <w:r>
        <w:instrText xml:space="preserve"> PAGEREF _Toc1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Ad Copy Variations</w:t>
        <w:tab/>
      </w:r>
      <w:r>
        <w:rPr/>
        <w:fldChar w:fldCharType="begin" w:fldLock="0"/>
      </w:r>
      <w:r>
        <w:instrText xml:space="preserve"> PAGEREF _Toc2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de-DE"/>
        </w:rPr>
        <w:t>Blog Post Draft</w:t>
        <w:tab/>
      </w:r>
      <w:r>
        <w:rPr/>
        <w:fldChar w:fldCharType="begin" w:fldLock="0"/>
      </w:r>
      <w:r>
        <w:instrText xml:space="preserve"> PAGEREF _Toc3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Email Sequence Overview</w:t>
        <w:tab/>
      </w:r>
      <w:r>
        <w:rPr/>
        <w:fldChar w:fldCharType="begin" w:fldLock="0"/>
      </w:r>
      <w:r>
        <w:instrText xml:space="preserve"> PAGEREF _Toc4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pt-PT"/>
        </w:rPr>
        <w:t>SEO Metadata</w:t>
        <w:tab/>
      </w:r>
      <w:r>
        <w:rPr/>
        <w:fldChar w:fldCharType="begin" w:fldLock="0"/>
      </w:r>
      <w:r>
        <w:instrText xml:space="preserve"> PAGEREF _Toc5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Content Calendar Summary</w:t>
        <w:tab/>
      </w:r>
      <w:r>
        <w:rPr/>
        <w:fldChar w:fldCharType="begin" w:fldLock="0"/>
      </w:r>
      <w:r>
        <w:instrText xml:space="preserve"> PAGEREF _Toc6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</w:t>
      </w:r>
      <w:r>
        <w:rPr/>
        <w:fldChar w:fldCharType="end" w:fldLock="0"/>
      </w:r>
    </w:p>
    <w:p>
      <w:pPr>
        <w:pStyle w:val="Body"/>
        <w:bidi w:val="0"/>
      </w:pPr>
      <w:r>
        <w:rPr/>
        <w:fldChar w:fldCharType="end" w:fldLock="0"/>
      </w:r>
    </w:p>
    <w:p>
      <w:pPr>
        <w:pStyle w:val="Body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bookmarkStart w:name="_Toc" w:id="0"/>
      <w:r>
        <w:rPr>
          <w:rFonts w:cs="Arial Unicode MS" w:eastAsia="Arial Unicode MS"/>
          <w:rtl w:val="0"/>
          <w:lang w:val="en-US"/>
        </w:rPr>
        <w:t>Campaign Overview</w:t>
      </w:r>
      <w:bookmarkEnd w:id="0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This campaign exists to do one thing: turn attention into action. Every headline, every CTA, every pixel of this document is engineered to grab, persuade, and convert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fast.</w:t>
      </w:r>
    </w:p>
    <w:p>
      <w:pPr>
        <w:pStyle w:val="Standard"/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"We don't whisper. We spark."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Across three channels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paid social, search, and organic content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this campaign delivers a unified voice: bold, benefit-driven, and impossible to scroll past. The goal: drive qualified traffic, spike engagement, and convert curiosity into customers within a focused 4-week sprint.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Primary objective: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35% lift in click-through rate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and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20% increase in qualified leads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versus the previous quarter's baseline.</w:t>
      </w:r>
    </w:p>
    <w:p>
      <w:pPr>
        <w:pStyle w:val="Standard"/>
      </w:pPr>
    </w:p>
    <w:p>
      <w:pPr>
        <w:pStyle w:val="Heading"/>
      </w:pPr>
      <w:bookmarkStart w:name="_Toc1" w:id="1"/>
      <w:r>
        <w:rPr>
          <w:rFonts w:cs="Arial Unicode MS" w:eastAsia="Arial Unicode MS"/>
          <w:rtl w:val="0"/>
          <w:lang w:val="en-US"/>
        </w:rPr>
        <w:t>Brand Voice &amp; Tone Guide</w:t>
      </w:r>
      <w:bookmarkEnd w:id="1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Our voice is confident, energetic, and refreshingly direct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never corporate, never boring. We talk like a sharp friend with insider knowledge, not a brochure.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Bold &amp; Direct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short punchy sentences, active voice, no fluff.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Optimistic &amp; Energetic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always forward-looking, always upbeat.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Confident, Not Arrogant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we back claims with proof, not hype.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Conversational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contractions welcome, jargon banned.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</w:rPr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Playful Urgency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 nudge, never a shove.</w:t>
      </w:r>
    </w:p>
    <w:p>
      <w:pPr>
        <w:pStyle w:val="List Paragraph"/>
        <w:spacing w:after="120"/>
      </w:pPr>
    </w:p>
    <w:p>
      <w:pPr>
        <w:pStyle w:val="List Paragraph"/>
        <w:spacing w:after="120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80"/>
        <w:gridCol w:w="4680"/>
      </w:tblGrid>
      <w:tr>
        <w:tblPrEx>
          <w:shd w:val="clear" w:color="auto" w:fill="4f81bd"/>
        </w:tblPrEx>
        <w:trPr>
          <w:trHeight w:val="214" w:hRule="atLeast"/>
          <w:tblHeader/>
        </w:trPr>
        <w:tc>
          <w:tcPr>
            <w:tcW w:type="dxa" w:w="4680"/>
            <w:tcBorders>
              <w:top w:val="single" w:color="1b1f3b" w:sz="1" w:space="0" w:shadow="0" w:frame="0"/>
              <w:left w:val="single" w:color="1b1f3b" w:sz="1" w:space="0" w:shadow="0" w:frame="0"/>
              <w:bottom w:val="single" w:color="e0e0e0" w:sz="1" w:space="0" w:shadow="0" w:frame="0"/>
              <w:right w:val="single" w:color="1b1f3b" w:sz="1" w:space="0" w:shadow="0" w:frame="0"/>
            </w:tcBorders>
            <w:shd w:val="clear" w:color="auto" w:fill="1b1f3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Do</w:t>
            </w:r>
          </w:p>
        </w:tc>
        <w:tc>
          <w:tcPr>
            <w:tcW w:type="dxa" w:w="4680"/>
            <w:tcBorders>
              <w:top w:val="single" w:color="1b1f3b" w:sz="1" w:space="0" w:shadow="0" w:frame="0"/>
              <w:left w:val="single" w:color="1b1f3b" w:sz="1" w:space="0" w:shadow="0" w:frame="0"/>
              <w:bottom w:val="single" w:color="e0e0e0" w:sz="1" w:space="0" w:shadow="0" w:frame="0"/>
              <w:right w:val="single" w:color="1b1f3b" w:sz="1" w:space="0" w:shadow="0" w:frame="0"/>
            </w:tcBorders>
            <w:shd w:val="clear" w:color="auto" w:fill="1b1f3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Don't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Use active verbs: Grab, Ignite, Unlock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Use passive voice or filler words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Lead with benefit, not feature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Bury the value in the third sentence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Keep sentences under 20 words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da-DK"/>
                <w14:textFill>
                  <w14:solidFill>
                    <w14:srgbClr w14:val="333333"/>
                  </w14:solidFill>
                </w14:textFill>
              </w:rPr>
              <w:t>Write paragraph-long run-ons</w:t>
            </w:r>
          </w:p>
        </w:tc>
      </w:tr>
    </w:tbl>
    <w:p>
      <w:pPr>
        <w:pStyle w:val="List Paragraph"/>
        <w:widowControl w:val="0"/>
        <w:spacing w:after="120"/>
      </w:pPr>
    </w:p>
    <w:p>
      <w:pPr>
        <w:pStyle w:val="List Paragraph"/>
        <w:widowControl w:val="0"/>
        <w:spacing w:after="120"/>
      </w:pPr>
    </w:p>
    <w:p>
      <w:pPr>
        <w:pStyle w:val="List Paragraph"/>
        <w:widowControl w:val="0"/>
        <w:spacing w:after="120"/>
      </w:pPr>
    </w:p>
    <w:p>
      <w:pPr>
        <w:pStyle w:val="Heading"/>
      </w:pPr>
      <w:bookmarkStart w:name="_Toc2" w:id="2"/>
      <w:r>
        <w:rPr>
          <w:rFonts w:cs="Arial Unicode MS" w:eastAsia="Arial Unicode MS"/>
          <w:rtl w:val="0"/>
          <w:lang w:val="en-US"/>
        </w:rPr>
        <w:t>Ad Copy Variations</w:t>
      </w:r>
      <w:bookmarkEnd w:id="2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Same spark, tailored for where your audience actually hangs out. Below are ready-to-ship variations for three high-performing channels.</w:t>
      </w:r>
    </w:p>
    <w:p>
      <w:pPr>
        <w:pStyle w:val="Heading 2"/>
        <w:spacing w:before="400" w:after="160"/>
      </w:pPr>
      <w:r>
        <w:rPr>
          <w:rtl w:val="0"/>
          <w:lang w:val="pt-PT"/>
        </w:rPr>
        <w:t>Instagram / Meta Ads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8"/>
        <w:gridCol w:w="6552"/>
      </w:tblGrid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Headline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Stop Scrolling. Start Winning.</w:t>
            </w:r>
          </w:p>
        </w:tc>
      </w:tr>
      <w:tr>
        <w:tblPrEx>
          <w:shd w:val="clear" w:color="auto" w:fill="ced7e7"/>
        </w:tblPrEx>
        <w:trPr>
          <w:trHeight w:val="527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Body Copy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You didn't come this far to blend in. Our [Product] gives you the edge </w:t>
            </w:r>
            <w:r>
              <w:rPr>
                <w:rFonts w:ascii="Times New Roman" w:hAnsi="Times New Roman" w:hint="default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real results, zero fluff. Swipe up before your competitors do.</w:t>
            </w:r>
          </w:p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14:textFill>
                  <w14:solidFill>
                    <w14:srgbClr w14:val="1B1F3B"/>
                  </w14:solidFill>
                </w14:textFill>
              </w:rPr>
              <w:t>CTA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Shop the Spark </w:t>
            </w:r>
            <w:r>
              <w:rPr>
                <w:rFonts w:ascii="Times New Roman" w:hAnsi="Times New Roman" w:hint="default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→</w:t>
            </w:r>
          </w:p>
        </w:tc>
      </w:tr>
    </w:tbl>
    <w:p>
      <w:pPr>
        <w:pStyle w:val="Heading 2"/>
        <w:widowControl w:val="0"/>
        <w:spacing w:before="400" w:after="160"/>
      </w:pPr>
    </w:p>
    <w:p>
      <w:pPr>
        <w:pStyle w:val="Heading 2"/>
        <w:widowControl w:val="0"/>
        <w:spacing w:before="400" w:after="160"/>
      </w:pPr>
    </w:p>
    <w:p>
      <w:pPr>
        <w:pStyle w:val="Heading 2"/>
        <w:spacing w:before="400" w:after="160"/>
      </w:pPr>
      <w:r>
        <w:rPr>
          <w:rtl w:val="0"/>
          <w:lang w:val="en-US"/>
        </w:rPr>
        <w:t>Google Search Ads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8"/>
        <w:gridCol w:w="6552"/>
      </w:tblGrid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Headline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Get Results, Not Excuses | [Brand]</w:t>
            </w:r>
          </w:p>
        </w:tc>
      </w:tr>
      <w:tr>
        <w:tblPrEx>
          <w:shd w:val="clear" w:color="auto" w:fill="ced7e7"/>
        </w:tblPrEx>
        <w:trPr>
          <w:trHeight w:val="527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Body Copy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Trusted by 10,000+ customers. Fast setup, real support, measurable ROI. See why switching pays off in week one.</w:t>
            </w:r>
          </w:p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14:textFill>
                  <w14:solidFill>
                    <w14:srgbClr w14:val="1B1F3B"/>
                  </w14:solidFill>
                </w14:textFill>
              </w:rPr>
              <w:t>CTA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Start Free Trial</w:t>
            </w:r>
          </w:p>
        </w:tc>
      </w:tr>
    </w:tbl>
    <w:p>
      <w:pPr>
        <w:pStyle w:val="Heading 2"/>
        <w:widowControl w:val="0"/>
        <w:spacing w:before="400" w:after="160"/>
      </w:pPr>
    </w:p>
    <w:p>
      <w:pPr>
        <w:pStyle w:val="Heading 2"/>
        <w:widowControl w:val="0"/>
        <w:spacing w:before="400" w:after="160"/>
      </w:pPr>
    </w:p>
    <w:p>
      <w:pPr>
        <w:pStyle w:val="Heading 2"/>
        <w:spacing w:before="400" w:after="160"/>
      </w:pPr>
      <w:r>
        <w:rPr>
          <w:rtl w:val="0"/>
          <w:lang w:val="nl-NL"/>
        </w:rPr>
        <w:t>LinkedIn Ads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8"/>
        <w:gridCol w:w="6552"/>
      </w:tblGrid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Headline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Your Team Deserves Better Tools.</w:t>
            </w:r>
          </w:p>
        </w:tc>
      </w:tr>
      <w:tr>
        <w:tblPrEx>
          <w:shd w:val="clear" w:color="auto" w:fill="ced7e7"/>
        </w:tblPrEx>
        <w:trPr>
          <w:trHeight w:val="527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Body Copy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Cut busywork. Boost output. [Brand] helps modern teams ship faster without burning out. Join the companies already ahead of the curve.</w:t>
            </w:r>
          </w:p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14:textFill>
                  <w14:solidFill>
                    <w14:srgbClr w14:val="1B1F3B"/>
                  </w14:solidFill>
                </w14:textFill>
              </w:rPr>
              <w:t>CTA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Book a Demo</w:t>
            </w:r>
          </w:p>
        </w:tc>
      </w:tr>
    </w:tbl>
    <w:p>
      <w:pPr>
        <w:pStyle w:val="Heading 2"/>
        <w:widowControl w:val="0"/>
        <w:spacing w:before="400" w:after="160"/>
      </w:pPr>
    </w:p>
    <w:p>
      <w:pPr>
        <w:pStyle w:val="Heading 2"/>
        <w:widowControl w:val="0"/>
        <w:spacing w:before="400" w:after="160"/>
      </w:pPr>
    </w:p>
    <w:p>
      <w:pPr>
        <w:pStyle w:val="Standard"/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"Great ad copy doesn't sell a product. It sells a decision already made."</w:t>
      </w:r>
    </w:p>
    <w:p>
      <w:pPr>
        <w:pStyle w:val="Standard"/>
      </w:pPr>
    </w:p>
    <w:p>
      <w:pPr>
        <w:pStyle w:val="Heading"/>
      </w:pPr>
      <w:bookmarkStart w:name="_Toc3" w:id="3"/>
      <w:r>
        <w:rPr>
          <w:rFonts w:cs="Arial Unicode MS" w:eastAsia="Arial Unicode MS"/>
          <w:rtl w:val="0"/>
          <w:lang w:val="de-DE"/>
        </w:rPr>
        <w:t>Blog Post Draft</w:t>
      </w:r>
      <w:bookmarkEnd w:id="3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Working Title: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5 Signs You've Outgrown Your Current [Category] Tool</w:t>
      </w:r>
    </w:p>
    <w:p>
      <w:pPr>
        <w:pStyle w:val="Heading 2"/>
        <w:spacing w:before="400" w:after="160"/>
      </w:pPr>
      <w:r>
        <w:rPr>
          <w:rtl w:val="0"/>
          <w:lang w:val="fr-FR"/>
        </w:rPr>
        <w:t>Introduction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You didn't build your business to fight your own tools. Yet here you are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copy-pasting between five tabs, waiting on support tickets, and watching competitors move faster with half your headcount. Sound familiar? It's not you. It's your stack.</w:t>
      </w:r>
    </w:p>
    <w:p>
      <w:pPr>
        <w:pStyle w:val="Heading 2"/>
        <w:spacing w:before="400" w:after="160"/>
      </w:pPr>
      <w:r>
        <w:rPr>
          <w:rtl w:val="0"/>
          <w:lang w:val="en-US"/>
        </w:rPr>
        <w:t>The Real Cost of Settling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Every hour lost to clunky workflows is an hour your competitors spend closing deals. Teams using outdated tools report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23% lower productivity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and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2x more missed deadlines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than teams using modern, integrated platforms.</w:t>
      </w:r>
    </w:p>
    <w:p>
      <w:pPr>
        <w:pStyle w:val="Standard"/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"You don't have a time problem. You have a tool problem."</w:t>
      </w:r>
    </w:p>
    <w:p>
      <w:pPr>
        <w:pStyle w:val="Heading 2"/>
        <w:spacing w:before="400" w:after="160"/>
      </w:pPr>
      <w:r>
        <w:rPr>
          <w:rtl w:val="0"/>
          <w:lang w:val="en-US"/>
        </w:rPr>
        <w:t>What Changes When You Upgrade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Here's what teams typically unlock within the first 30 days: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Faster onboarding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live in days, not months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Fewer tools, one source of truth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Real-time visibility for every stakeholder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Support that actually responds</w:t>
      </w:r>
    </w:p>
    <w:p>
      <w:pPr>
        <w:pStyle w:val="List Paragraph"/>
        <w:spacing w:after="120"/>
      </w:pPr>
    </w:p>
    <w:p>
      <w:pPr>
        <w:pStyle w:val="Heading 2"/>
        <w:spacing w:before="400" w:after="160"/>
      </w:pPr>
      <w:r>
        <w:rPr>
          <w:rtl w:val="0"/>
          <w:lang w:val="en-US"/>
        </w:rPr>
        <w:t>Closing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The tools that got you here won't get you there. It's time to upgrade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not someday, now.</w:t>
      </w:r>
    </w:p>
    <w:p>
      <w:pPr>
        <w:pStyle w:val="Standard"/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Ready to see the difference?</w:t>
      </w:r>
    </w:p>
    <w:p>
      <w:pPr>
        <w:pStyle w:val="Standard"/>
      </w:pPr>
    </w:p>
    <w:p>
      <w:pPr>
        <w:pStyle w:val="Heading"/>
      </w:pPr>
      <w:bookmarkStart w:name="_Toc4" w:id="4"/>
      <w:r>
        <w:rPr>
          <w:rFonts w:cs="Arial Unicode MS" w:eastAsia="Arial Unicode MS"/>
          <w:rtl w:val="0"/>
          <w:lang w:val="en-US"/>
        </w:rPr>
        <w:t>Email Sequence Overview</w:t>
      </w:r>
      <w:bookmarkEnd w:id="4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A tight 3-email arc designed to hook, build trust, and convert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sent across 7 days.</w:t>
      </w:r>
    </w:p>
    <w:p>
      <w:pPr>
        <w:pStyle w:val="Heading 2"/>
        <w:spacing w:before="400" w:after="160"/>
      </w:pPr>
      <w:r>
        <w:rPr>
          <w:rtl w:val="0"/>
          <w:lang w:val="en-US"/>
        </w:rPr>
        <w:t>Email 1: The Hook (Day 1)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8"/>
        <w:gridCol w:w="6552"/>
      </w:tblGrid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Subject Line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You're one click from doing this the easy way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de-DE"/>
                <w14:textFill>
                  <w14:solidFill>
                    <w14:srgbClr w14:val="1B1F3B"/>
                  </w14:solidFill>
                </w14:textFill>
              </w:rPr>
              <w:t>Preview Text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Here's what you're missing (and it's costing you).</w:t>
            </w:r>
          </w:p>
        </w:tc>
      </w:tr>
      <w:tr>
        <w:tblPrEx>
          <w:shd w:val="clear" w:color="auto" w:fill="ced7e7"/>
        </w:tblPrEx>
        <w:trPr>
          <w:trHeight w:val="809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Body Copy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Hey [First Name], most people waste hours a week on tasks [Product] handles in seconds. Curious what that time is worth to you? Take 90 seconds and find out.</w:t>
            </w:r>
          </w:p>
        </w:tc>
      </w:tr>
    </w:tbl>
    <w:p>
      <w:pPr>
        <w:pStyle w:val="Heading 2"/>
        <w:widowControl w:val="0"/>
        <w:spacing w:before="400" w:after="160"/>
      </w:pPr>
    </w:p>
    <w:p>
      <w:pPr>
        <w:pStyle w:val="Heading 2"/>
        <w:widowControl w:val="0"/>
        <w:spacing w:before="400" w:after="160"/>
      </w:pPr>
    </w:p>
    <w:p>
      <w:pPr>
        <w:pStyle w:val="Heading 2"/>
        <w:spacing w:before="400" w:after="160"/>
      </w:pPr>
      <w:r>
        <w:rPr>
          <w:rtl w:val="0"/>
          <w:lang w:val="en-US"/>
        </w:rPr>
        <w:t>Email 2: The Proof (Day 4)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8"/>
        <w:gridCol w:w="6552"/>
      </w:tblGrid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Subject Line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How [Customer] cut costs by 40% in 30 days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de-DE"/>
                <w14:textFill>
                  <w14:solidFill>
                    <w14:srgbClr w14:val="1B1F3B"/>
                  </w14:solidFill>
                </w14:textFill>
              </w:rPr>
              <w:t>Preview Text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Real numbers. Real team. Real fast.</w:t>
            </w:r>
          </w:p>
        </w:tc>
      </w:tr>
      <w:tr>
        <w:tblPrEx>
          <w:shd w:val="clear" w:color="auto" w:fill="ced7e7"/>
        </w:tblPrEx>
        <w:trPr>
          <w:trHeight w:val="523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Body Copy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[Customer] was skeptical too </w:t>
            </w:r>
            <w:r>
              <w:rPr>
                <w:rFonts w:ascii="Times New Roman" w:hAnsi="Times New Roman" w:hint="default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until they saw results in week one. Here's exactly how they did it, and how you can copy their playbook.</w:t>
            </w:r>
          </w:p>
        </w:tc>
      </w:tr>
    </w:tbl>
    <w:p>
      <w:pPr>
        <w:pStyle w:val="Heading 2"/>
        <w:widowControl w:val="0"/>
        <w:spacing w:before="400" w:after="160"/>
      </w:pPr>
    </w:p>
    <w:p>
      <w:pPr>
        <w:pStyle w:val="Heading 2"/>
        <w:widowControl w:val="0"/>
        <w:spacing w:before="400" w:after="160"/>
      </w:pPr>
    </w:p>
    <w:p>
      <w:pPr>
        <w:pStyle w:val="Heading 2"/>
        <w:spacing w:before="400" w:after="160"/>
      </w:pPr>
      <w:r>
        <w:rPr>
          <w:rtl w:val="0"/>
          <w:lang w:val="en-US"/>
        </w:rPr>
        <w:t>Email 3: The Nudge (Day 7)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8"/>
        <w:gridCol w:w="6552"/>
      </w:tblGrid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Subject Line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Your offer expires tonight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de-DE"/>
                <w14:textFill>
                  <w14:solidFill>
                    <w14:srgbClr w14:val="1B1F3B"/>
                  </w14:solidFill>
                </w14:textFill>
              </w:rPr>
              <w:t>Preview Text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Last call </w:t>
            </w:r>
            <w:r>
              <w:rPr>
                <w:rFonts w:ascii="Times New Roman" w:hAnsi="Times New Roman" w:hint="default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this won't be here tomorrow.</w:t>
            </w:r>
          </w:p>
        </w:tc>
      </w:tr>
      <w:tr>
        <w:tblPrEx>
          <w:shd w:val="clear" w:color="auto" w:fill="ced7e7"/>
        </w:tblPrEx>
        <w:trPr>
          <w:trHeight w:val="523" w:hRule="atLeast"/>
        </w:trPr>
        <w:tc>
          <w:tcPr>
            <w:tcW w:type="dxa" w:w="2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1b1f3b"/>
                <w:sz w:val="22"/>
                <w:szCs w:val="22"/>
                <w:u w:color="1b1f3b"/>
                <w:shd w:val="nil" w:color="auto" w:fill="auto"/>
                <w:rtl w:val="0"/>
                <w:lang w:val="en-US"/>
                <w14:textFill>
                  <w14:solidFill>
                    <w14:srgbClr w14:val="1B1F3B"/>
                  </w14:solidFill>
                </w14:textFill>
              </w:rPr>
              <w:t>Body Copy</w:t>
            </w:r>
          </w:p>
        </w:tc>
        <w:tc>
          <w:tcPr>
            <w:tcW w:type="dxa" w:w="6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eeeeee" w:sz="1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This is it. Your exclusive intro pricing disappears at midnight. Don't let a busy inbox cost you the upgrade you've been putting off.</w:t>
            </w:r>
          </w:p>
        </w:tc>
      </w:tr>
    </w:tbl>
    <w:p>
      <w:pPr>
        <w:pStyle w:val="Heading 2"/>
        <w:widowControl w:val="0"/>
        <w:spacing w:before="400" w:after="160"/>
      </w:pPr>
    </w:p>
    <w:p>
      <w:pPr>
        <w:pStyle w:val="Heading 2"/>
        <w:widowControl w:val="0"/>
        <w:spacing w:before="400" w:after="160"/>
      </w:pPr>
    </w:p>
    <w:p>
      <w:pPr>
        <w:pStyle w:val="Heading"/>
      </w:pPr>
      <w:bookmarkStart w:name="_Toc5" w:id="5"/>
      <w:r>
        <w:rPr>
          <w:rFonts w:cs="Arial Unicode MS" w:eastAsia="Arial Unicode MS"/>
          <w:rtl w:val="0"/>
          <w:lang w:val="pt-PT"/>
        </w:rPr>
        <w:t>SEO Metadata</w:t>
      </w:r>
      <w:bookmarkEnd w:id="5"/>
    </w:p>
    <w:p>
      <w:pPr>
        <w:pStyle w:val="Heading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40"/>
        <w:gridCol w:w="2340"/>
        <w:gridCol w:w="2340"/>
        <w:gridCol w:w="2340"/>
      </w:tblGrid>
      <w:tr>
        <w:tblPrEx>
          <w:shd w:val="clear" w:color="auto" w:fill="4f81bd"/>
        </w:tblPrEx>
        <w:trPr>
          <w:trHeight w:val="214" w:hRule="atLeast"/>
          <w:tblHeader/>
        </w:trPr>
        <w:tc>
          <w:tcPr>
            <w:tcW w:type="dxa" w:w="2340"/>
            <w:tcBorders>
              <w:top w:val="single" w:color="1b1f3b" w:sz="1" w:space="0" w:shadow="0" w:frame="0"/>
              <w:left w:val="single" w:color="1b1f3b" w:sz="1" w:space="0" w:shadow="0" w:frame="0"/>
              <w:bottom w:val="single" w:color="e0e0e0" w:sz="1" w:space="0" w:shadow="0" w:frame="0"/>
              <w:right w:val="single" w:color="1b1f3b" w:sz="1" w:space="0" w:shadow="0" w:frame="0"/>
            </w:tcBorders>
            <w:shd w:val="clear" w:color="auto" w:fill="1b1f3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pt-PT"/>
                <w14:textFill>
                  <w14:solidFill>
                    <w14:srgbClr w14:val="FFFFFF"/>
                  </w14:solidFill>
                </w14:textFill>
              </w:rPr>
              <w:t>Page</w:t>
            </w:r>
          </w:p>
        </w:tc>
        <w:tc>
          <w:tcPr>
            <w:tcW w:type="dxa" w:w="2340"/>
            <w:tcBorders>
              <w:top w:val="single" w:color="1b1f3b" w:sz="1" w:space="0" w:shadow="0" w:frame="0"/>
              <w:left w:val="single" w:color="1b1f3b" w:sz="1" w:space="0" w:shadow="0" w:frame="0"/>
              <w:bottom w:val="single" w:color="e0e0e0" w:sz="1" w:space="0" w:shadow="0" w:frame="0"/>
              <w:right w:val="single" w:color="1b1f3b" w:sz="1" w:space="0" w:shadow="0" w:frame="0"/>
            </w:tcBorders>
            <w:shd w:val="clear" w:color="auto" w:fill="1b1f3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Title Tag</w:t>
            </w:r>
          </w:p>
        </w:tc>
        <w:tc>
          <w:tcPr>
            <w:tcW w:type="dxa" w:w="2340"/>
            <w:tcBorders>
              <w:top w:val="single" w:color="1b1f3b" w:sz="1" w:space="0" w:shadow="0" w:frame="0"/>
              <w:left w:val="single" w:color="1b1f3b" w:sz="1" w:space="0" w:shadow="0" w:frame="0"/>
              <w:bottom w:val="single" w:color="e0e0e0" w:sz="1" w:space="0" w:shadow="0" w:frame="0"/>
              <w:right w:val="single" w:color="1b1f3b" w:sz="1" w:space="0" w:shadow="0" w:frame="0"/>
            </w:tcBorders>
            <w:shd w:val="clear" w:color="auto" w:fill="1b1f3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Meta Description</w:t>
            </w:r>
          </w:p>
        </w:tc>
        <w:tc>
          <w:tcPr>
            <w:tcW w:type="dxa" w:w="2340"/>
            <w:tcBorders>
              <w:top w:val="single" w:color="1b1f3b" w:sz="1" w:space="0" w:shadow="0" w:frame="0"/>
              <w:left w:val="single" w:color="1b1f3b" w:sz="1" w:space="0" w:shadow="0" w:frame="0"/>
              <w:bottom w:val="single" w:color="e0e0e0" w:sz="1" w:space="0" w:shadow="0" w:frame="0"/>
              <w:right w:val="single" w:color="1b1f3b" w:sz="1" w:space="0" w:shadow="0" w:frame="0"/>
            </w:tcBorders>
            <w:shd w:val="clear" w:color="auto" w:fill="1b1f3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Target Keywords</w:t>
            </w:r>
          </w:p>
        </w:tc>
      </w:tr>
      <w:tr>
        <w:tblPrEx>
          <w:shd w:val="clear" w:color="auto" w:fill="ced7e7"/>
        </w:tblPrEx>
        <w:trPr>
          <w:trHeight w:val="1001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Homepage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Ignite Growth Fast | [Brand]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Ditch the busywork. [Brand] helps teams launch, scale, and win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see results in week one.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marketing automation, growth platform, [brand] software</w:t>
            </w:r>
          </w:p>
        </w:tc>
      </w:tr>
      <w:tr>
        <w:tblPrEx>
          <w:shd w:val="clear" w:color="auto" w:fill="ced7e7"/>
        </w:tblPrEx>
        <w:trPr>
          <w:trHeight w:val="1001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de-DE"/>
                <w14:textFill>
                  <w14:solidFill>
                    <w14:srgbClr w14:val="333333"/>
                  </w14:solidFill>
                </w14:textFill>
              </w:rPr>
              <w:t>Blog Post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5 Signs You've Outgrown Your Tool | [Brand] Blog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Still juggling five tabs? Learn the signs it's time to upgrade your stack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and what to do next.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outgrown software, team productivity tools, workflow upgrade</w:t>
            </w:r>
          </w:p>
        </w:tc>
      </w:tr>
      <w:tr>
        <w:tblPrEx>
          <w:shd w:val="clear" w:color="auto" w:fill="ced7e7"/>
        </w:tblPrEx>
        <w:trPr>
          <w:trHeight w:val="1001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Landing Page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Start Free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No Credit Card Required | [Brand]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Try [Brand] free for 14 days. Fast setup, real support, measurable ROI from day one.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free trial marketing tool, [brand] pricing, no-code setup</w:t>
            </w:r>
          </w:p>
        </w:tc>
      </w:tr>
    </w:tbl>
    <w:p>
      <w:pPr>
        <w:pStyle w:val="Heading"/>
        <w:widowControl w:val="0"/>
      </w:pPr>
    </w:p>
    <w:p>
      <w:pPr>
        <w:pStyle w:val="Heading"/>
        <w:widowControl w:val="0"/>
      </w:pPr>
    </w:p>
    <w:p>
      <w:pPr>
        <w:pStyle w:val="Heading"/>
      </w:pPr>
      <w:bookmarkStart w:name="_Toc6" w:id="6"/>
      <w:r>
        <w:rPr>
          <w:rFonts w:cs="Arial Unicode MS" w:eastAsia="Arial Unicode MS"/>
          <w:rtl w:val="0"/>
          <w:lang w:val="en-US"/>
        </w:rPr>
        <w:t>Content Calendar Summary</w:t>
      </w:r>
      <w:bookmarkEnd w:id="6"/>
    </w:p>
    <w:p>
      <w:pPr>
        <w:pStyle w:val="Heading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40"/>
        <w:gridCol w:w="2340"/>
        <w:gridCol w:w="2340"/>
        <w:gridCol w:w="2340"/>
      </w:tblGrid>
      <w:tr>
        <w:tblPrEx>
          <w:shd w:val="clear" w:color="auto" w:fill="4f81bd"/>
        </w:tblPrEx>
        <w:trPr>
          <w:trHeight w:val="214" w:hRule="atLeast"/>
          <w:tblHeader/>
        </w:trPr>
        <w:tc>
          <w:tcPr>
            <w:tcW w:type="dxa" w:w="2340"/>
            <w:tcBorders>
              <w:top w:val="single" w:color="1b1f3b" w:sz="1" w:space="0" w:shadow="0" w:frame="0"/>
              <w:left w:val="single" w:color="1b1f3b" w:sz="1" w:space="0" w:shadow="0" w:frame="0"/>
              <w:bottom w:val="single" w:color="e0e0e0" w:sz="1" w:space="0" w:shadow="0" w:frame="0"/>
              <w:right w:val="single" w:color="1b1f3b" w:sz="1" w:space="0" w:shadow="0" w:frame="0"/>
            </w:tcBorders>
            <w:shd w:val="clear" w:color="auto" w:fill="1b1f3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nl-NL"/>
                <w14:textFill>
                  <w14:solidFill>
                    <w14:srgbClr w14:val="FFFFFF"/>
                  </w14:solidFill>
                </w14:textFill>
              </w:rPr>
              <w:t>Week</w:t>
            </w:r>
          </w:p>
        </w:tc>
        <w:tc>
          <w:tcPr>
            <w:tcW w:type="dxa" w:w="2340"/>
            <w:tcBorders>
              <w:top w:val="single" w:color="1b1f3b" w:sz="1" w:space="0" w:shadow="0" w:frame="0"/>
              <w:left w:val="single" w:color="1b1f3b" w:sz="1" w:space="0" w:shadow="0" w:frame="0"/>
              <w:bottom w:val="single" w:color="e0e0e0" w:sz="1" w:space="0" w:shadow="0" w:frame="0"/>
              <w:right w:val="single" w:color="1b1f3b" w:sz="1" w:space="0" w:shadow="0" w:frame="0"/>
            </w:tcBorders>
            <w:shd w:val="clear" w:color="auto" w:fill="1b1f3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it-IT"/>
                <w14:textFill>
                  <w14:solidFill>
                    <w14:srgbClr w14:val="FFFFFF"/>
                  </w14:solidFill>
                </w14:textFill>
              </w:rPr>
              <w:t>Channel Focus</w:t>
            </w:r>
          </w:p>
        </w:tc>
        <w:tc>
          <w:tcPr>
            <w:tcW w:type="dxa" w:w="2340"/>
            <w:tcBorders>
              <w:top w:val="single" w:color="1b1f3b" w:sz="1" w:space="0" w:shadow="0" w:frame="0"/>
              <w:left w:val="single" w:color="1b1f3b" w:sz="1" w:space="0" w:shadow="0" w:frame="0"/>
              <w:bottom w:val="single" w:color="e0e0e0" w:sz="1" w:space="0" w:shadow="0" w:frame="0"/>
              <w:right w:val="single" w:color="1b1f3b" w:sz="1" w:space="0" w:shadow="0" w:frame="0"/>
            </w:tcBorders>
            <w:shd w:val="clear" w:color="auto" w:fill="1b1f3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Content Type</w:t>
            </w:r>
          </w:p>
        </w:tc>
        <w:tc>
          <w:tcPr>
            <w:tcW w:type="dxa" w:w="2340"/>
            <w:tcBorders>
              <w:top w:val="single" w:color="1b1f3b" w:sz="1" w:space="0" w:shadow="0" w:frame="0"/>
              <w:left w:val="single" w:color="1b1f3b" w:sz="1" w:space="0" w:shadow="0" w:frame="0"/>
              <w:bottom w:val="single" w:color="e0e0e0" w:sz="1" w:space="0" w:shadow="0" w:frame="0"/>
              <w:right w:val="single" w:color="1b1f3b" w:sz="1" w:space="0" w:shadow="0" w:frame="0"/>
            </w:tcBorders>
            <w:shd w:val="clear" w:color="auto" w:fill="1b1f3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Key Message / CTA</w:t>
            </w:r>
          </w:p>
        </w:tc>
      </w:tr>
      <w:tr>
        <w:tblPrEx>
          <w:shd w:val="clear" w:color="auto" w:fill="ced7e7"/>
        </w:tblPrEx>
        <w:trPr>
          <w:trHeight w:val="476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nl-NL"/>
                <w14:textFill>
                  <w14:solidFill>
                    <w14:srgbClr w14:val="333333"/>
                  </w14:solidFill>
                </w14:textFill>
              </w:rPr>
              <w:t>Week 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Instagram + Email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Launch Teaser + Email 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 xml:space="preserve">Stop Scrolling. Start Winning.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 xml:space="preserve">→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Learn More</w:t>
            </w:r>
          </w:p>
        </w:tc>
      </w:tr>
      <w:tr>
        <w:tblPrEx>
          <w:shd w:val="clear" w:color="auto" w:fill="ced7e7"/>
        </w:tblPrEx>
        <w:trPr>
          <w:trHeight w:val="476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nl-NL"/>
                <w14:textFill>
                  <w14:solidFill>
                    <w14:srgbClr w14:val="333333"/>
                  </w14:solidFill>
                </w14:textFill>
              </w:rPr>
              <w:t>Week 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Google Search + Blog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Search Ads Live + Blog Post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Get Results, Not Excuses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 xml:space="preserve">→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Start Free Trial</w:t>
            </w:r>
          </w:p>
        </w:tc>
      </w:tr>
      <w:tr>
        <w:tblPrEx>
          <w:shd w:val="clear" w:color="auto" w:fill="ced7e7"/>
        </w:tblPrEx>
        <w:trPr>
          <w:trHeight w:val="739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nl-NL"/>
                <w14:textFill>
                  <w14:solidFill>
                    <w14:srgbClr w14:val="333333"/>
                  </w14:solidFill>
                </w14:textFill>
              </w:rPr>
              <w:t>Week 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LinkedIn + Email 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B2B Push + Proof Email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Your Team Deserves Better Tools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 xml:space="preserve">→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Book a Demo</w:t>
            </w:r>
          </w:p>
        </w:tc>
      </w:tr>
      <w:tr>
        <w:tblPrEx>
          <w:shd w:val="clear" w:color="auto" w:fill="ced7e7"/>
        </w:tblPrEx>
        <w:trPr>
          <w:trHeight w:val="476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nl-NL"/>
                <w14:textFill>
                  <w14:solidFill>
                    <w14:srgbClr w14:val="333333"/>
                  </w14:solidFill>
                </w14:textFill>
              </w:rPr>
              <w:t>Week 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All Channels + Email 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Retargeting + Urgency Email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Offer Expires Tonight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 xml:space="preserve">→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Claim Your Spot</w:t>
            </w:r>
          </w:p>
        </w:tc>
      </w:tr>
    </w:tbl>
    <w:p>
      <w:pPr>
        <w:pStyle w:val="Heading"/>
        <w:widowControl w:val="0"/>
      </w:pPr>
      <w:r/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5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2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7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64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right" w:pos="9026" w:leader="dot"/>
      </w:tabs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333333"/>
      <w:spacing w:val="0"/>
      <w:kern w:val="0"/>
      <w:position w:val="0"/>
      <w:sz w:val="22"/>
      <w:szCs w:val="22"/>
      <w:u w:val="none" w:color="333333"/>
      <w:shd w:val="nil" w:color="auto" w:fill="auto"/>
      <w:vertAlign w:val="baseline"/>
      <w14:textFill>
        <w14:solidFill>
          <w14:srgbClr w14:val="333333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400" w:after="160" w:line="240" w:lineRule="auto"/>
      <w:ind w:left="0" w:right="0" w:firstLine="0"/>
      <w:jc w:val="left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1b1f3b"/>
      <w:spacing w:val="0"/>
      <w:kern w:val="0"/>
      <w:position w:val="0"/>
      <w:sz w:val="32"/>
      <w:szCs w:val="32"/>
      <w:u w:val="none" w:color="1b1f3b"/>
      <w:shd w:val="nil" w:color="auto" w:fill="auto"/>
      <w:vertAlign w:val="baseline"/>
      <w14:textOutline>
        <w14:noFill/>
      </w14:textOutline>
      <w14:textFill>
        <w14:solidFill>
          <w14:srgbClr w14:val="1B1F3B"/>
        </w14:solidFill>
      </w14:textFill>
    </w:rPr>
  </w:style>
  <w:style w:type="paragraph" w:styleId="TOC 2">
    <w:name w:val="TOC 2"/>
    <w:next w:val="TOC 2"/>
    <w:pPr>
      <w:keepNext w:val="0"/>
      <w:keepLines w:val="0"/>
      <w:pageBreakBefore w:val="0"/>
      <w:widowControl w:val="1"/>
      <w:shd w:val="clear" w:color="auto" w:fill="auto"/>
      <w:tabs>
        <w:tab w:val="right" w:pos="9026" w:leader="dot"/>
      </w:tabs>
      <w:suppressAutoHyphens w:val="0"/>
      <w:bidi w:val="0"/>
      <w:spacing w:before="0" w:after="100" w:line="240" w:lineRule="auto"/>
      <w:ind w:left="24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555555"/>
      <w:spacing w:val="0"/>
      <w:kern w:val="0"/>
      <w:position w:val="0"/>
      <w:sz w:val="22"/>
      <w:szCs w:val="22"/>
      <w:u w:val="none" w:color="555555"/>
      <w:shd w:val="nil" w:color="auto" w:fill="auto"/>
      <w:vertAlign w:val="baseline"/>
      <w14:textFill>
        <w14:solidFill>
          <w14:srgbClr w14:val="555555"/>
        </w14:solidFill>
      </w14:textFill>
    </w:rPr>
  </w:style>
  <w:style w:type="paragraph" w:styleId="Heading 2">
    <w:name w:val="Heading 2"/>
    <w:next w:val="Heading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320" w:after="140" w:line="240" w:lineRule="auto"/>
      <w:ind w:left="0" w:right="0" w:firstLine="0"/>
      <w:jc w:val="left"/>
      <w:outlineLvl w:val="1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1b1f3b"/>
      <w:spacing w:val="0"/>
      <w:kern w:val="0"/>
      <w:position w:val="0"/>
      <w:sz w:val="26"/>
      <w:szCs w:val="26"/>
      <w:u w:val="none" w:color="1b1f3b"/>
      <w:shd w:val="nil" w:color="auto" w:fill="auto"/>
      <w:vertAlign w:val="baseline"/>
      <w14:textOutline>
        <w14:noFill/>
      </w14:textOutline>
      <w14:textFill>
        <w14:solidFill>
          <w14:srgbClr w14:val="1B1F3B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