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drawing xmlns:a="http://schemas.openxmlformats.org/drawingml/2006/main">
          <wp:inline distT="0" distB="0" distL="0" distR="0">
            <wp:extent cx="2066925" cy="3619500"/>
            <wp:effectExtent l="0" t="0" r="0" b="0"/>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4">
                      <a:extLst/>
                    </a:blip>
                    <a:stretch>
                      <a:fillRect/>
                    </a:stretch>
                  </pic:blipFill>
                  <pic:spPr>
                    <a:xfrm>
                      <a:off x="0" y="0"/>
                      <a:ext cx="2066925" cy="3619500"/>
                    </a:xfrm>
                    <a:prstGeom prst="rect">
                      <a:avLst/>
                    </a:prstGeom>
                    <a:ln w="12700" cap="flat">
                      <a:noFill/>
                      <a:miter lim="400000"/>
                    </a:ln>
                    <a:effectLst/>
                  </pic:spPr>
                </pic:pic>
              </a:graphicData>
            </a:graphic>
          </wp:inline>
        </w:drawing>
      </w:r>
    </w:p>
    <w:p>
      <w:pPr>
        <w:pStyle w:val="Body"/>
        <w:bidi w:val="0"/>
      </w:pPr>
      <w:r>
        <w:rPr>
          <w:rFonts w:ascii="Times New Roman" w:hAnsi="Times New Roman"/>
          <w:b w:val="1"/>
          <w:bCs w:val="1"/>
          <w:outline w:val="0"/>
          <w:color w:val="2b2b2b"/>
          <w:sz w:val="60"/>
          <w:szCs w:val="60"/>
          <w:u w:color="2b2b2b"/>
          <w:rtl w:val="0"/>
          <w:lang w:val="en-US"/>
          <w14:textFill>
            <w14:solidFill>
              <w14:srgbClr w14:val="2B2B2B"/>
            </w14:solidFill>
          </w14:textFill>
        </w:rPr>
        <w:t>Client Master Agreement</w:t>
      </w:r>
    </w:p>
    <w:p>
      <w:pPr>
        <w:pStyle w:val="Body"/>
        <w:bidi w:val="0"/>
      </w:pPr>
      <w:r>
        <w:rPr>
          <w:rFonts w:ascii="Times New Roman" w:hAnsi="Times New Roman"/>
          <w:i w:val="1"/>
          <w:iCs w:val="1"/>
          <w:outline w:val="0"/>
          <w:color w:val="555555"/>
          <w:sz w:val="30"/>
          <w:szCs w:val="30"/>
          <w:u w:color="555555"/>
          <w:rtl w:val="0"/>
          <w:lang w:val="en-US"/>
          <w14:textFill>
            <w14:solidFill>
              <w14:srgbClr w14:val="555555"/>
            </w14:solidFill>
          </w14:textFill>
        </w:rPr>
        <w:t>Master Services Agreement</w:t>
      </w:r>
    </w:p>
    <w:p>
      <w:pPr>
        <w:pStyle w:val="Body"/>
        <w:bidi w:val="0"/>
      </w:pPr>
      <w:r>
        <w:rPr>
          <w:outline w:val="0"/>
          <w:color w:val="777777"/>
          <w:u w:color="777777"/>
          <w:rtl w:val="0"/>
          <w:lang w:val="en-US"/>
          <w14:textFill>
            <w14:solidFill>
              <w14:srgbClr w14:val="777777"/>
            </w14:solidFill>
          </w14:textFill>
        </w:rPr>
        <w:t>Effective as of the Effective Date defined herein</w:t>
      </w:r>
    </w:p>
    <w:p>
      <w:pPr>
        <w:pStyle w:val="Body"/>
        <w:bidi w:val="0"/>
      </w:pPr>
      <w:r>
        <w:rPr>
          <w:rFonts w:ascii="Arial Unicode MS" w:cs="Arial Unicode MS" w:hAnsi="Arial Unicode MS" w:eastAsia="Arial Unicode MS"/>
          <w:b w:val="0"/>
          <w:bCs w:val="0"/>
          <w:i w:val="0"/>
          <w:iCs w:val="0"/>
        </w:rPr>
        <w:br w:type="page"/>
      </w:r>
    </w:p>
    <w:p>
      <w:pPr>
        <w:pStyle w:val="Body"/>
        <w:bidi w:val="0"/>
      </w:pPr>
      <w:r>
        <w:rPr/>
        <w:fldChar w:fldCharType="begin" w:fldLock="0"/>
      </w:r>
      <w:r>
        <w:instrText xml:space="preserve"> TOC \o 1-2 </w:instrText>
      </w:r>
      <w:r>
        <w:rPr/>
        <w:fldChar w:fldCharType="separate" w:fldLock="0"/>
      </w:r>
    </w:p>
    <w:p>
      <w:pPr>
        <w:pStyle w:val="TOC 1"/>
      </w:pPr>
      <w:r>
        <w:rPr>
          <w:rFonts w:cs="Arial Unicode MS" w:eastAsia="Arial Unicode MS"/>
          <w:rtl w:val="0"/>
          <w:lang w:val="en-US"/>
        </w:rPr>
        <w:t>1. Definitions</w:t>
        <w:tab/>
      </w:r>
      <w:r>
        <w:rPr/>
        <w:fldChar w:fldCharType="begin" w:fldLock="0"/>
      </w:r>
      <w:r>
        <w:instrText xml:space="preserve"> PAGEREF _Toc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2. Scope of Services</w:t>
        <w:tab/>
      </w:r>
      <w:r>
        <w:rPr/>
        <w:fldChar w:fldCharType="begin" w:fldLock="0"/>
      </w:r>
      <w:r>
        <w:instrText xml:space="preserve"> PAGEREF _Toc1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3. Term and Termination</w:t>
        <w:tab/>
      </w:r>
      <w:r>
        <w:rPr/>
        <w:fldChar w:fldCharType="begin" w:fldLock="0"/>
      </w:r>
      <w:r>
        <w:instrText xml:space="preserve"> PAGEREF _Toc2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lang w:val="en-US"/>
        </w:rPr>
        <w:t>4. Fees and Payment Terms</w:t>
        <w:tab/>
      </w:r>
      <w:r>
        <w:rPr/>
        <w:fldChar w:fldCharType="begin" w:fldLock="0"/>
      </w:r>
      <w:r>
        <w:instrText xml:space="preserve"> PAGEREF _Toc3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5. Confidentiality</w:t>
        <w:tab/>
      </w:r>
      <w:r>
        <w:rPr/>
        <w:fldChar w:fldCharType="begin" w:fldLock="0"/>
      </w:r>
      <w:r>
        <w:instrText xml:space="preserve"> PAGEREF _Toc4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6. Intellectual Property</w:t>
        <w:tab/>
      </w:r>
      <w:r>
        <w:rPr/>
        <w:fldChar w:fldCharType="begin" w:fldLock="0"/>
      </w:r>
      <w:r>
        <w:instrText xml:space="preserve"> PAGEREF _Toc5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lang w:val="en-US"/>
        </w:rPr>
        <w:t>7. Liability and Indemnification</w:t>
        <w:tab/>
      </w:r>
      <w:r>
        <w:rPr/>
        <w:fldChar w:fldCharType="begin" w:fldLock="0"/>
      </w:r>
      <w:r>
        <w:instrText xml:space="preserve"> PAGEREF _Toc6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8. Warranties and Disclaimers</w:t>
        <w:tab/>
      </w:r>
      <w:r>
        <w:rPr/>
        <w:fldChar w:fldCharType="begin" w:fldLock="0"/>
      </w:r>
      <w:r>
        <w:instrText xml:space="preserve"> PAGEREF _Toc7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9. Dispute Resolution</w:t>
        <w:tab/>
      </w:r>
      <w:r>
        <w:rPr/>
        <w:fldChar w:fldCharType="begin" w:fldLock="0"/>
      </w:r>
      <w:r>
        <w:instrText xml:space="preserve"> PAGEREF _Toc8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lang w:val="en-US"/>
        </w:rPr>
        <w:t>10. Governing Law</w:t>
        <w:tab/>
      </w:r>
      <w:r>
        <w:rPr/>
        <w:fldChar w:fldCharType="begin" w:fldLock="0"/>
      </w:r>
      <w:r>
        <w:instrText xml:space="preserve"> PAGEREF _Toc9 \h </w:instrText>
      </w:r>
      <w:r>
        <w:rPr/>
        <w:fldChar w:fldCharType="separate" w:fldLock="0"/>
      </w:r>
      <w:r>
        <w:rPr>
          <w:rFonts w:cs="Arial Unicode MS" w:eastAsia="Arial Unicode MS"/>
          <w:rtl w:val="0"/>
        </w:rPr>
        <w:t>6</w:t>
      </w:r>
      <w:r>
        <w:rPr/>
        <w:fldChar w:fldCharType="end" w:fldLock="0"/>
      </w:r>
    </w:p>
    <w:p>
      <w:pPr>
        <w:pStyle w:val="TOC 1"/>
      </w:pPr>
      <w:r>
        <w:rPr>
          <w:rFonts w:cs="Arial Unicode MS" w:eastAsia="Arial Unicode MS"/>
          <w:rtl w:val="0"/>
          <w:lang w:val="en-US"/>
        </w:rPr>
        <w:t>11. Signature Block</w:t>
        <w:tab/>
      </w:r>
      <w:r>
        <w:rPr/>
        <w:fldChar w:fldCharType="begin" w:fldLock="0"/>
      </w:r>
      <w:r>
        <w:instrText xml:space="preserve"> PAGEREF _Toc10 \h </w:instrText>
      </w:r>
      <w:r>
        <w:rPr/>
        <w:fldChar w:fldCharType="separate" w:fldLock="0"/>
      </w:r>
      <w:r>
        <w:rPr>
          <w:rFonts w:cs="Arial Unicode MS" w:eastAsia="Arial Unicode MS"/>
          <w:rtl w:val="0"/>
        </w:rPr>
        <w:t>6</w:t>
      </w:r>
      <w:r>
        <w:rPr/>
        <w:fldChar w:fldCharType="end" w:fldLock="0"/>
      </w:r>
    </w:p>
    <w:p>
      <w:pPr>
        <w:pStyle w:val="TOC 1"/>
      </w:pPr>
      <w:r>
        <w:rPr>
          <w:rFonts w:cs="Arial Unicode MS" w:eastAsia="Arial Unicode MS" w:hint="default"/>
          <w:rtl w:val="0"/>
          <w:lang w:val="en-US"/>
        </w:rPr>
        <w:t>Appendix — Exhibit A: Service Schedule</w:t>
        <w:tab/>
      </w:r>
      <w:r>
        <w:rPr/>
        <w:fldChar w:fldCharType="begin" w:fldLock="0"/>
      </w:r>
      <w:r>
        <w:instrText xml:space="preserve"> PAGEREF _Toc11 \h </w:instrText>
      </w:r>
      <w:r>
        <w:rPr/>
        <w:fldChar w:fldCharType="separate" w:fldLock="0"/>
      </w:r>
      <w:r>
        <w:rPr>
          <w:rFonts w:cs="Arial Unicode MS" w:eastAsia="Arial Unicode MS"/>
          <w:rtl w:val="0"/>
        </w:rPr>
        <w:t>6</w:t>
      </w:r>
      <w:r>
        <w:rPr/>
        <w:fldChar w:fldCharType="end" w:fldLock="0"/>
      </w:r>
    </w:p>
    <w:p>
      <w:pPr>
        <w:pStyle w:val="Body"/>
        <w:bidi w:val="0"/>
      </w:pPr>
      <w:r>
        <w:rPr/>
        <w:fldChar w:fldCharType="end" w:fldLock="0"/>
      </w:r>
    </w:p>
    <w:p>
      <w:pPr>
        <w:pStyle w:val="Body"/>
        <w:bidi w:val="0"/>
      </w:pPr>
      <w:r>
        <w:rPr>
          <w:rFonts w:ascii="Arial Unicode MS" w:cs="Arial Unicode MS" w:hAnsi="Arial Unicode MS" w:eastAsia="Arial Unicode MS"/>
          <w:b w:val="0"/>
          <w:bCs w:val="0"/>
          <w:i w:val="0"/>
          <w:iCs w:val="0"/>
        </w:rPr>
        <w:br w:type="page"/>
      </w:r>
    </w:p>
    <w:p>
      <w:pPr>
        <w:pStyle w:val="Heading"/>
      </w:pPr>
      <w:bookmarkStart w:name="_Toc" w:id="0"/>
      <w:r>
        <w:rPr>
          <w:rFonts w:cs="Arial Unicode MS" w:eastAsia="Arial Unicode MS"/>
          <w:rtl w:val="0"/>
          <w:lang w:val="en-US"/>
        </w:rPr>
        <w:t>1. Definitions</w:t>
      </w:r>
      <w:bookmarkEnd w:id="0"/>
    </w:p>
    <w:p>
      <w:pPr>
        <w:pStyle w:val="Standard"/>
      </w:pPr>
      <w:r>
        <w:rPr>
          <w:outline w:val="0"/>
          <w:color w:val="333333"/>
          <w:sz w:val="22"/>
          <w:szCs w:val="22"/>
          <w:u w:color="333333"/>
          <w:rtl w:val="0"/>
          <w:lang w:val="en-US"/>
          <w14:textFill>
            <w14:solidFill>
              <w14:srgbClr w14:val="333333"/>
            </w14:solidFill>
          </w14:textFill>
        </w:rPr>
        <w:t>This Client Master Agreement (this "Agreement") is entered into by and between the party providing services (the "Provider") and the party receiving services (the "Client"), collectively the "Parties" and each individually a "Party."</w:t>
      </w:r>
    </w:p>
    <w:p>
      <w:pPr>
        <w:pStyle w:val="Standard"/>
      </w:pPr>
      <w:r>
        <w:rPr>
          <w:outline w:val="0"/>
          <w:color w:val="333333"/>
          <w:sz w:val="22"/>
          <w:szCs w:val="22"/>
          <w:u w:color="333333"/>
          <w:rtl w:val="0"/>
          <w:lang w:val="en-US"/>
          <w14:textFill>
            <w14:solidFill>
              <w14:srgbClr w14:val="333333"/>
            </w14:solidFill>
          </w14:textFill>
        </w:rPr>
        <w:t>For the purposes of this Agreement, the following capitalized terms shall have the meanings set out below, and such meanings shall apply equally to the singular and plural forms of the terms defined.</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"Agreement" means this Client Master Agreement, including all Exhibits, Schedules, and amendments incorporated by reference.</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"Effective Date" means the date on which the last Party executes this Agreement, as set out in the Signature Block.</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"Services" means the services described in Exhibit A (Service Schedule), as may be amended by written change order.</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"Confidential Information" means any non-public business, technical, or financial information disclosed by one Party to the other, whether orally or in writing, that is designated as confidential or would reasonably be understood to be confidential.</w:t>
      </w:r>
    </w:p>
    <w:p>
      <w:pPr>
        <w:pStyle w:val="Standard"/>
      </w:pPr>
      <w:r>
        <w:rPr>
          <w:b w:val="1"/>
          <w:bCs w:val="1"/>
          <w:outline w:val="0"/>
          <w:color w:val="2b2b2b"/>
          <w:sz w:val="22"/>
          <w:szCs w:val="22"/>
          <w:u w:color="2b2b2b"/>
          <w:rtl w:val="0"/>
          <w14:textFill>
            <w14:solidFill>
              <w14:srgbClr w14:val="2B2B2B"/>
            </w14:solidFill>
          </w14:textFill>
        </w:rPr>
        <w:t xml:space="preserve">5.  </w:t>
      </w:r>
      <w:r>
        <w:rPr>
          <w:outline w:val="0"/>
          <w:color w:val="333333"/>
          <w:sz w:val="22"/>
          <w:szCs w:val="22"/>
          <w:u w:color="333333"/>
          <w:rtl w:val="0"/>
          <w:lang w:val="en-US"/>
          <w14:textFill>
            <w14:solidFill>
              <w14:srgbClr w14:val="333333"/>
            </w14:solidFill>
          </w14:textFill>
        </w:rPr>
        <w:t>"Fees" means the amounts payable by the Client to the Provider for the Services, as set out in Section 4 (Fees and Payment Terms) and Exhibit A.</w:t>
      </w:r>
    </w:p>
    <w:p>
      <w:pPr>
        <w:pStyle w:val="Standard"/>
      </w:pPr>
      <w:r>
        <w:rPr>
          <w:b w:val="1"/>
          <w:bCs w:val="1"/>
          <w:outline w:val="0"/>
          <w:color w:val="2b2b2b"/>
          <w:sz w:val="22"/>
          <w:szCs w:val="22"/>
          <w:u w:color="2b2b2b"/>
          <w:rtl w:val="0"/>
          <w14:textFill>
            <w14:solidFill>
              <w14:srgbClr w14:val="2B2B2B"/>
            </w14:solidFill>
          </w14:textFill>
        </w:rPr>
        <w:t xml:space="preserve">6.  </w:t>
      </w:r>
      <w:r>
        <w:rPr>
          <w:outline w:val="0"/>
          <w:color w:val="333333"/>
          <w:sz w:val="22"/>
          <w:szCs w:val="22"/>
          <w:u w:color="333333"/>
          <w:rtl w:val="0"/>
          <w:lang w:val="en-US"/>
          <w14:textFill>
            <w14:solidFill>
              <w14:srgbClr w14:val="333333"/>
            </w14:solidFill>
          </w14:textFill>
        </w:rPr>
        <w:t>"Intellectual Property" means all patents, copyrights, trademarks, trade secrets, and other proprietary rights, whether registered or unregistered.</w:t>
      </w:r>
    </w:p>
    <w:p>
      <w:pPr>
        <w:pStyle w:val="Standard"/>
      </w:pPr>
      <w:r>
        <w:rPr>
          <w:b w:val="1"/>
          <w:bCs w:val="1"/>
          <w:outline w:val="0"/>
          <w:color w:val="2b2b2b"/>
          <w:sz w:val="22"/>
          <w:szCs w:val="22"/>
          <w:u w:color="2b2b2b"/>
          <w:rtl w:val="0"/>
          <w14:textFill>
            <w14:solidFill>
              <w14:srgbClr w14:val="2B2B2B"/>
            </w14:solidFill>
          </w14:textFill>
        </w:rPr>
        <w:t xml:space="preserve">7.  </w:t>
      </w:r>
      <w:r>
        <w:rPr>
          <w:outline w:val="0"/>
          <w:color w:val="333333"/>
          <w:sz w:val="22"/>
          <w:szCs w:val="22"/>
          <w:u w:color="333333"/>
          <w:rtl w:val="0"/>
          <w:lang w:val="en-US"/>
          <w14:textFill>
            <w14:solidFill>
              <w14:srgbClr w14:val="333333"/>
            </w14:solidFill>
          </w14:textFill>
        </w:rPr>
        <w:t>"Term" means the period during which this Agreement remains in effect, as described in Section 3 (Term and Termination).</w:t>
      </w:r>
    </w:p>
    <w:p>
      <w:pPr>
        <w:pStyle w:val="Standard"/>
      </w:pPr>
      <w:r>
        <w:rPr>
          <w:b w:val="1"/>
          <w:bCs w:val="1"/>
          <w:outline w:val="0"/>
          <w:color w:val="2b2b2b"/>
          <w:sz w:val="22"/>
          <w:szCs w:val="22"/>
          <w:u w:color="2b2b2b"/>
          <w:rtl w:val="0"/>
          <w14:textFill>
            <w14:solidFill>
              <w14:srgbClr w14:val="2B2B2B"/>
            </w14:solidFill>
          </w14:textFill>
        </w:rPr>
        <w:t xml:space="preserve">8.  </w:t>
      </w:r>
      <w:r>
        <w:rPr>
          <w:outline w:val="0"/>
          <w:color w:val="333333"/>
          <w:sz w:val="22"/>
          <w:szCs w:val="22"/>
          <w:u w:color="333333"/>
          <w:rtl w:val="0"/>
          <w:lang w:val="en-US"/>
          <w14:textFill>
            <w14:solidFill>
              <w14:srgbClr w14:val="333333"/>
            </w14:solidFill>
          </w14:textFill>
        </w:rPr>
        <w:t>"Force Majeure Event" means any event beyond a Party's reasonable control, including natural disaster, war, civil unrest, or governmental action, that prevents performance of this Agreement.</w:t>
      </w:r>
    </w:p>
    <w:p>
      <w:pPr>
        <w:pStyle w:val="Standard"/>
      </w:pPr>
    </w:p>
    <w:p>
      <w:pPr>
        <w:pStyle w:val="Heading"/>
      </w:pPr>
      <w:bookmarkStart w:name="_Toc1" w:id="1"/>
      <w:r>
        <w:rPr>
          <w:rFonts w:cs="Arial Unicode MS" w:eastAsia="Arial Unicode MS"/>
          <w:rtl w:val="0"/>
          <w:lang w:val="en-US"/>
        </w:rPr>
        <w:t>2. Scope of Services</w:t>
      </w:r>
      <w:bookmarkEnd w:id="1"/>
    </w:p>
    <w:p>
      <w:pPr>
        <w:pStyle w:val="Standard"/>
      </w:pPr>
      <w:r>
        <w:rPr>
          <w:outline w:val="0"/>
          <w:color w:val="333333"/>
          <w:sz w:val="22"/>
          <w:szCs w:val="22"/>
          <w:u w:color="333333"/>
          <w:rtl w:val="0"/>
          <w:lang w:val="en-US"/>
          <w14:textFill>
            <w14:solidFill>
              <w14:srgbClr w14:val="333333"/>
            </w14:solidFill>
          </w14:textFill>
        </w:rPr>
        <w:t>The Provider shall perform the Services for the Client in accordance with the specifications, deliverables, and timelines set out in Exhibit A (Service Schedule). The Scope of Services constitutes the entire operative description of work to be performed under this Agreement unless varied by a written change order signed by both Parties.</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The Provider shall deliver the Services with reasonable skill, care, and diligence consistent with generally accepted industry standards.</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Any material change to the Scope of Services must be documented in a written change order specifying the revised deliverables, timeline, and Fees, and signed by an authorised representative of each Party.</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The Provider may, with the Client's prior written consent, engage subcontractors to perform part of the Services, provided the Provider remains fully responsible for such subcontractors' performance.</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The Client shall provide the Provider with timely access to information, personnel, and materials reasonably required for the performance of the Services.</w:t>
      </w:r>
    </w:p>
    <w:p>
      <w:pPr>
        <w:pStyle w:val="Standard"/>
      </w:pPr>
      <w:r>
        <w:rPr>
          <w:b w:val="1"/>
          <w:bCs w:val="1"/>
          <w:outline w:val="0"/>
          <w:color w:val="2b2b2b"/>
          <w:sz w:val="22"/>
          <w:szCs w:val="22"/>
          <w:u w:color="2b2b2b"/>
          <w:rtl w:val="0"/>
          <w14:textFill>
            <w14:solidFill>
              <w14:srgbClr w14:val="2B2B2B"/>
            </w14:solidFill>
          </w14:textFill>
        </w:rPr>
        <w:t xml:space="preserve">5.  </w:t>
      </w:r>
      <w:r>
        <w:rPr>
          <w:outline w:val="0"/>
          <w:color w:val="333333"/>
          <w:sz w:val="22"/>
          <w:szCs w:val="22"/>
          <w:u w:color="333333"/>
          <w:rtl w:val="0"/>
          <w:lang w:val="en-US"/>
          <w14:textFill>
            <w14:solidFill>
              <w14:srgbClr w14:val="333333"/>
            </w14:solidFill>
          </w14:textFill>
        </w:rPr>
        <w:t>Services not expressly described in Exhibit A are deemed outside the Scope of Services and, if requested, shall be subject to a separate change order and additional Fees.</w:t>
      </w:r>
    </w:p>
    <w:p>
      <w:pPr>
        <w:pStyle w:val="Standard"/>
      </w:pPr>
    </w:p>
    <w:p>
      <w:pPr>
        <w:pStyle w:val="Heading"/>
      </w:pPr>
      <w:bookmarkStart w:name="_Toc2" w:id="2"/>
      <w:r>
        <w:rPr>
          <w:rFonts w:cs="Arial Unicode MS" w:eastAsia="Arial Unicode MS"/>
          <w:rtl w:val="0"/>
          <w:lang w:val="en-US"/>
        </w:rPr>
        <w:t>3. Term and Termination</w:t>
      </w:r>
      <w:bookmarkEnd w:id="2"/>
    </w:p>
    <w:p>
      <w:pPr>
        <w:pStyle w:val="Standard"/>
      </w:pPr>
      <w:r>
        <w:rPr>
          <w:outline w:val="0"/>
          <w:color w:val="333333"/>
          <w:sz w:val="22"/>
          <w:szCs w:val="22"/>
          <w:u w:color="333333"/>
          <w:rtl w:val="0"/>
          <w:lang w:val="en-US"/>
          <w14:textFill>
            <w14:solidFill>
              <w14:srgbClr w14:val="333333"/>
            </w14:solidFill>
          </w14:textFill>
        </w:rPr>
        <w:t>This Agreement commences on the Effective Date and continues for the initial term specified in Exhibit A (the "Initial Term"), unless terminated earlier in accordance with this Section 3.</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Following the Initial Term, this Agreement shall automatically renew for successive twelve (12) month periods unless either Party provides written notice of non-renewal at least sixty (60) days prior to the end of the then-current term.</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Either Party may terminate this Agreement for convenience upon ninety (90) days' prior written notice to the other Party.</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Either Party may terminate this Agreement immediately upon written notice if the other Party commits a material breach that remains uncured for thirty (30) days following written notice of such breach.</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Either Party may terminate this Agreement immediately if the other Party becomes insolvent, enters administration, or ceases to carry on business.</w:t>
      </w:r>
    </w:p>
    <w:p>
      <w:pPr>
        <w:pStyle w:val="Standard"/>
      </w:pPr>
      <w:r>
        <w:rPr>
          <w:b w:val="1"/>
          <w:bCs w:val="1"/>
          <w:outline w:val="0"/>
          <w:color w:val="2b2b2b"/>
          <w:sz w:val="22"/>
          <w:szCs w:val="22"/>
          <w:u w:color="2b2b2b"/>
          <w:rtl w:val="0"/>
          <w14:textFill>
            <w14:solidFill>
              <w14:srgbClr w14:val="2B2B2B"/>
            </w14:solidFill>
          </w14:textFill>
        </w:rPr>
        <w:t xml:space="preserve">5.  </w:t>
      </w:r>
      <w:r>
        <w:rPr>
          <w:outline w:val="0"/>
          <w:color w:val="333333"/>
          <w:sz w:val="22"/>
          <w:szCs w:val="22"/>
          <w:u w:color="333333"/>
          <w:rtl w:val="0"/>
          <w:lang w:val="en-US"/>
          <w14:textFill>
            <w14:solidFill>
              <w14:srgbClr w14:val="333333"/>
            </w14:solidFill>
          </w14:textFill>
        </w:rPr>
        <w:t>Upon termination, the Client shall pay all Fees accrued and unpaid up to the effective date of termination, and each Party shall return or destroy the other Party's Confidential Information.</w:t>
      </w:r>
    </w:p>
    <w:p>
      <w:pPr>
        <w:pStyle w:val="Standard"/>
      </w:pPr>
      <w:r>
        <w:rPr>
          <w:b w:val="1"/>
          <w:bCs w:val="1"/>
          <w:outline w:val="0"/>
          <w:color w:val="2b2b2b"/>
          <w:sz w:val="22"/>
          <w:szCs w:val="22"/>
          <w:u w:color="2b2b2b"/>
          <w:rtl w:val="0"/>
          <w14:textFill>
            <w14:solidFill>
              <w14:srgbClr w14:val="2B2B2B"/>
            </w14:solidFill>
          </w14:textFill>
        </w:rPr>
        <w:t xml:space="preserve">6.  </w:t>
      </w:r>
      <w:r>
        <w:rPr>
          <w:outline w:val="0"/>
          <w:color w:val="333333"/>
          <w:sz w:val="22"/>
          <w:szCs w:val="22"/>
          <w:u w:color="333333"/>
          <w:rtl w:val="0"/>
          <w:lang w:val="en-US"/>
          <w14:textFill>
            <w14:solidFill>
              <w14:srgbClr w14:val="333333"/>
            </w14:solidFill>
          </w14:textFill>
        </w:rPr>
        <w:t>Sections 5 (Confidentiality), 6 (Intellectual Property), 7 (Liability and Indemnification), 9 (Dispute Resolution), and 10 (Governing Law) shall survive termination of this Agreement.</w:t>
      </w:r>
    </w:p>
    <w:p>
      <w:pPr>
        <w:pStyle w:val="Standard"/>
      </w:pPr>
    </w:p>
    <w:p>
      <w:pPr>
        <w:pStyle w:val="Heading"/>
      </w:pPr>
      <w:bookmarkStart w:name="_Toc3" w:id="3"/>
      <w:r>
        <w:rPr>
          <w:rFonts w:cs="Arial Unicode MS" w:eastAsia="Arial Unicode MS"/>
          <w:rtl w:val="0"/>
          <w:lang w:val="en-US"/>
        </w:rPr>
        <w:t>4. Fees and Payment Terms</w:t>
      </w:r>
      <w:bookmarkEnd w:id="3"/>
    </w:p>
    <w:p>
      <w:pPr>
        <w:pStyle w:val="Standard"/>
      </w:pPr>
      <w:r>
        <w:rPr>
          <w:outline w:val="0"/>
          <w:color w:val="333333"/>
          <w:sz w:val="22"/>
          <w:szCs w:val="22"/>
          <w:u w:color="333333"/>
          <w:rtl w:val="0"/>
          <w:lang w:val="en-US"/>
          <w14:textFill>
            <w14:solidFill>
              <w14:srgbClr w14:val="333333"/>
            </w14:solidFill>
          </w14:textFill>
        </w:rPr>
        <w:t>The Client shall pay the Provider the Fees set out in Exhibit A in consideration for the Services. All Fees are stated exclusive of applicable taxes unless otherwise specified.</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The Provider shall invoice the Client on a monthly basis, or as otherwise specified in Exhibit A, and invoices are payable within thirty (30) days of the invoice date.</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Any amount not paid when due shall accrue interest at the rate of one and one-half percent (1.5%) per month, or the maximum rate permitted by law, whichever is lower.</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The Client shall reimburse the Provider for pre-approved, reasonable out-of-pocket expenses incurred in the performance of the Services.</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All Fees are exclusive of applicable goods and services tax, value-added tax, or similar taxes, which shall be added to invoices where applicable.</w:t>
      </w:r>
    </w:p>
    <w:p>
      <w:pPr>
        <w:pStyle w:val="Standard"/>
      </w:pPr>
      <w:r>
        <w:rPr>
          <w:b w:val="1"/>
          <w:bCs w:val="1"/>
          <w:outline w:val="0"/>
          <w:color w:val="2b2b2b"/>
          <w:sz w:val="22"/>
          <w:szCs w:val="22"/>
          <w:u w:color="2b2b2b"/>
          <w:rtl w:val="0"/>
          <w14:textFill>
            <w14:solidFill>
              <w14:srgbClr w14:val="2B2B2B"/>
            </w14:solidFill>
          </w14:textFill>
        </w:rPr>
        <w:t xml:space="preserve">5.  </w:t>
      </w:r>
      <w:r>
        <w:rPr>
          <w:outline w:val="0"/>
          <w:color w:val="333333"/>
          <w:sz w:val="22"/>
          <w:szCs w:val="22"/>
          <w:u w:color="333333"/>
          <w:rtl w:val="0"/>
          <w:lang w:val="en-US"/>
          <w14:textFill>
            <w14:solidFill>
              <w14:srgbClr w14:val="333333"/>
            </w14:solidFill>
          </w14:textFill>
        </w:rPr>
        <w:t>If the Client disputes any portion of an invoice in good faith, the Client shall pay the undisputed portion when due and the Parties shall promptly seek to resolve the disputed portion.</w:t>
      </w:r>
    </w:p>
    <w:p>
      <w:pPr>
        <w:pStyle w:val="Standard"/>
      </w:pPr>
    </w:p>
    <w:p>
      <w:pPr>
        <w:pStyle w:val="Heading"/>
      </w:pPr>
      <w:bookmarkStart w:name="_Toc4" w:id="4"/>
      <w:r>
        <w:rPr>
          <w:rFonts w:cs="Arial Unicode MS" w:eastAsia="Arial Unicode MS"/>
          <w:rtl w:val="0"/>
          <w:lang w:val="en-US"/>
        </w:rPr>
        <w:t>5. Confidentiality</w:t>
      </w:r>
      <w:bookmarkEnd w:id="4"/>
    </w:p>
    <w:p>
      <w:pPr>
        <w:pStyle w:val="Standard"/>
      </w:pPr>
      <w:r>
        <w:rPr>
          <w:outline w:val="0"/>
          <w:color w:val="333333"/>
          <w:sz w:val="22"/>
          <w:szCs w:val="22"/>
          <w:u w:color="333333"/>
          <w:rtl w:val="0"/>
          <w:lang w:val="en-US"/>
          <w14:textFill>
            <w14:solidFill>
              <w14:srgbClr w14:val="333333"/>
            </w14:solidFill>
          </w14:textFill>
        </w:rPr>
        <w:t>Each Party shall protect the other Party's Confidential Information using the same degree of care it uses to protect its own confidential information of a similar nature, but in no event less than reasonable care.</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Confidential Information shall be used solely for the purposes of performing obligations under this Agreement and shall not be disclosed to any third party without the prior written consent of the disclosing Party.</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The obligations in this Section 5 shall not apply to information that is or becomes publicly available through no fault of the receiving Party, was rightfully known prior to disclosure, or is independently developed without reference to the Confidential Information.</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A Party may disclose Confidential Information where required by law, regulation, or court order, provided it gives the disclosing Party prompt written notice where legally permissible.</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The obligations under this Section 5 shall survive for a period of five (5) years following termination or expiration of this Agreement.</w:t>
      </w:r>
    </w:p>
    <w:p>
      <w:pPr>
        <w:pStyle w:val="Standard"/>
      </w:pPr>
    </w:p>
    <w:p>
      <w:pPr>
        <w:pStyle w:val="Heading"/>
      </w:pPr>
      <w:bookmarkStart w:name="_Toc5" w:id="5"/>
      <w:r>
        <w:rPr>
          <w:rFonts w:cs="Arial Unicode MS" w:eastAsia="Arial Unicode MS"/>
          <w:rtl w:val="0"/>
          <w:lang w:val="en-US"/>
        </w:rPr>
        <w:t>6. Intellectual Property</w:t>
      </w:r>
      <w:bookmarkEnd w:id="5"/>
    </w:p>
    <w:p>
      <w:pPr>
        <w:pStyle w:val="Standard"/>
      </w:pPr>
      <w:r>
        <w:rPr>
          <w:outline w:val="0"/>
          <w:color w:val="333333"/>
          <w:sz w:val="22"/>
          <w:szCs w:val="22"/>
          <w:u w:color="333333"/>
          <w:rtl w:val="0"/>
          <w:lang w:val="en-US"/>
          <w14:textFill>
            <w14:solidFill>
              <w14:srgbClr w14:val="333333"/>
            </w14:solidFill>
          </w14:textFill>
        </w:rPr>
        <w:t>Except as expressly set out in this Section 6, each Party retains all right, title, and interest in and to its own pre-existing Intellectual Property.</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Upon full payment of applicable Fees, the Provider assigns to the Client all right, title, and interest in deliverables created specifically for the Client under this Agreement, excluding any pre-existing Provider Intellectual Property incorporated therein.</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The Provider grants the Client a non-exclusive, worldwide, royalty-free licence to use any pre-existing Provider Intellectual Property solely to the extent necessary to use the deliverables as intended.</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The Client grants the Provider a non-exclusive, royalty-free licence to use Client-supplied materials solely as necessary to perform the Services.</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Any suggestions, feedback, or improvements provided by the Client regarding the Provider's tools or methodologies may be used freely by the Provider without obligation to the Client.</w:t>
      </w:r>
    </w:p>
    <w:p>
      <w:pPr>
        <w:pStyle w:val="Standard"/>
      </w:pPr>
    </w:p>
    <w:p>
      <w:pPr>
        <w:pStyle w:val="Heading"/>
      </w:pPr>
      <w:bookmarkStart w:name="_Toc6" w:id="6"/>
      <w:r>
        <w:rPr>
          <w:rFonts w:cs="Arial Unicode MS" w:eastAsia="Arial Unicode MS"/>
          <w:rtl w:val="0"/>
          <w:lang w:val="en-US"/>
        </w:rPr>
        <w:t>7. Liability and Indemnification</w:t>
      </w:r>
      <w:bookmarkEnd w:id="6"/>
    </w:p>
    <w:p>
      <w:pPr>
        <w:pStyle w:val="Standard"/>
      </w:pPr>
      <w:r>
        <w:rPr>
          <w:outline w:val="0"/>
          <w:color w:val="333333"/>
          <w:sz w:val="22"/>
          <w:szCs w:val="22"/>
          <w:u w:color="333333"/>
          <w:rtl w:val="0"/>
          <w:lang w:val="en-US"/>
          <w14:textFill>
            <w14:solidFill>
              <w14:srgbClr w14:val="333333"/>
            </w14:solidFill>
          </w14:textFill>
        </w:rPr>
        <w:t>Except in respect of the indemnification obligations below, neither Party shall be liable to the other for any indirect, incidental, special, or consequential damages arising out of or relating to this Agreement, regardless of the theory of liability.</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Each Party's aggregate liability arising out of or relating to this Agreement shall not exceed the total Fees paid or payable by the Client in the twelve (12) months preceding the event giving rise to the claim.</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Each Party shall indemnify, defend, and hold harmless the other Party from and against third-party claims arising from the indemnifying Party's gross negligence, wilful misconduct, or breach of Section 5 (Confidentiality) or Section 6 (Intellectual Property).</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The limitations in this Section 7 shall not apply to breaches of confidentiality obligations, infringement of Intellectual Property rights, or liability that cannot be limited or excluded under applicable law.</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The Party seeking indemnification shall provide prompt written notice of any claim and reasonable cooperation to the indemnifying Party.</w:t>
      </w:r>
    </w:p>
    <w:p>
      <w:pPr>
        <w:pStyle w:val="Standard"/>
      </w:pPr>
    </w:p>
    <w:p>
      <w:pPr>
        <w:pStyle w:val="Heading"/>
      </w:pPr>
      <w:bookmarkStart w:name="_Toc7" w:id="7"/>
      <w:r>
        <w:rPr>
          <w:rFonts w:cs="Arial Unicode MS" w:eastAsia="Arial Unicode MS"/>
          <w:rtl w:val="0"/>
          <w:lang w:val="en-US"/>
        </w:rPr>
        <w:t>8. Warranties and Disclaimers</w:t>
      </w:r>
      <w:bookmarkEnd w:id="7"/>
    </w:p>
    <w:p>
      <w:pPr>
        <w:pStyle w:val="Standard"/>
      </w:pPr>
      <w:r>
        <w:rPr>
          <w:outline w:val="0"/>
          <w:color w:val="333333"/>
          <w:sz w:val="22"/>
          <w:szCs w:val="22"/>
          <w:u w:color="333333"/>
          <w:rtl w:val="0"/>
          <w:lang w:val="en-US"/>
          <w14:textFill>
            <w14:solidFill>
              <w14:srgbClr w14:val="333333"/>
            </w14:solidFill>
          </w14:textFill>
        </w:rPr>
        <w:t>Each Party represents and warrants that it has full power and authority to enter into this Agreement and to perform its obligations hereunder.</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The Provider warrants that the Services shall be performed in a professional and workmanlike manner consistent with generally accepted industry standards.</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The Client warrants that all information and materials it provides to the Provider are accurate and that it holds all rights necessary to provide such materials.</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Except as expressly set out in this Agreement, the Services and any deliverables are provided "as is" without warranties of any kind, whether express, implied, or statutory, including implied warranties of merchantability or fitness for a particular purpose.</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Nothing in this Section 8 excludes or limits any warranty that cannot lawfully be excluded under applicable consumer protection legislation.</w:t>
      </w:r>
    </w:p>
    <w:p>
      <w:pPr>
        <w:pStyle w:val="Standard"/>
      </w:pPr>
    </w:p>
    <w:p>
      <w:pPr>
        <w:pStyle w:val="Heading"/>
      </w:pPr>
      <w:bookmarkStart w:name="_Toc8" w:id="8"/>
      <w:r>
        <w:rPr>
          <w:rFonts w:cs="Arial Unicode MS" w:eastAsia="Arial Unicode MS"/>
          <w:rtl w:val="0"/>
          <w:lang w:val="en-US"/>
        </w:rPr>
        <w:t>9. Dispute Resolution</w:t>
      </w:r>
      <w:bookmarkEnd w:id="8"/>
    </w:p>
    <w:p>
      <w:pPr>
        <w:pStyle w:val="Standard"/>
      </w:pPr>
      <w:r>
        <w:rPr>
          <w:outline w:val="0"/>
          <w:color w:val="333333"/>
          <w:sz w:val="22"/>
          <w:szCs w:val="22"/>
          <w:u w:color="333333"/>
          <w:rtl w:val="0"/>
          <w:lang w:val="en-US"/>
          <w14:textFill>
            <w14:solidFill>
              <w14:srgbClr w14:val="333333"/>
            </w14:solidFill>
          </w14:textFill>
        </w:rPr>
        <w:t>The Parties shall attempt in good faith to resolve any dispute arising out of or relating to this Agreement through direct negotiation between senior representatives before pursuing formal proceedings.</w:t>
      </w:r>
    </w:p>
    <w:p>
      <w:pPr>
        <w:pStyle w:val="Standard"/>
      </w:pPr>
    </w:p>
    <w:p>
      <w:pPr>
        <w:pStyle w:val="Standard"/>
      </w:pPr>
      <w:r>
        <w:rPr>
          <w:b w:val="1"/>
          <w:bCs w:val="1"/>
          <w:outline w:val="0"/>
          <w:color w:val="2b2b2b"/>
          <w:sz w:val="22"/>
          <w:szCs w:val="22"/>
          <w:u w:color="2b2b2b"/>
          <w:rtl w:val="0"/>
          <w14:textFill>
            <w14:solidFill>
              <w14:srgbClr w14:val="2B2B2B"/>
            </w14:solidFill>
          </w14:textFill>
        </w:rPr>
        <w:t xml:space="preserve">1.  </w:t>
      </w:r>
      <w:r>
        <w:rPr>
          <w:outline w:val="0"/>
          <w:color w:val="333333"/>
          <w:sz w:val="22"/>
          <w:szCs w:val="22"/>
          <w:u w:color="333333"/>
          <w:rtl w:val="0"/>
          <w:lang w:val="en-US"/>
          <w14:textFill>
            <w14:solidFill>
              <w14:srgbClr w14:val="333333"/>
            </w14:solidFill>
          </w14:textFill>
        </w:rPr>
        <w:t>If a dispute is not resolved through negotiation within thirty (30) days, either Party may refer the dispute to mediation administered by a mutually agreed mediator.</w:t>
      </w:r>
    </w:p>
    <w:p>
      <w:pPr>
        <w:pStyle w:val="Standard"/>
      </w:pPr>
      <w:r>
        <w:rPr>
          <w:b w:val="1"/>
          <w:bCs w:val="1"/>
          <w:outline w:val="0"/>
          <w:color w:val="2b2b2b"/>
          <w:sz w:val="22"/>
          <w:szCs w:val="22"/>
          <w:u w:color="2b2b2b"/>
          <w:rtl w:val="0"/>
          <w14:textFill>
            <w14:solidFill>
              <w14:srgbClr w14:val="2B2B2B"/>
            </w14:solidFill>
          </w14:textFill>
        </w:rPr>
        <w:t xml:space="preserve">2.  </w:t>
      </w:r>
      <w:r>
        <w:rPr>
          <w:outline w:val="0"/>
          <w:color w:val="333333"/>
          <w:sz w:val="22"/>
          <w:szCs w:val="22"/>
          <w:u w:color="333333"/>
          <w:rtl w:val="0"/>
          <w:lang w:val="en-US"/>
          <w14:textFill>
            <w14:solidFill>
              <w14:srgbClr w14:val="333333"/>
            </w14:solidFill>
          </w14:textFill>
        </w:rPr>
        <w:t>If mediation does not resolve the dispute within sixty (60) days, either Party may pursue binding arbitration in accordance with the rules of a recognised arbitral institution agreed by the Parties.</w:t>
      </w:r>
    </w:p>
    <w:p>
      <w:pPr>
        <w:pStyle w:val="Standard"/>
      </w:pPr>
      <w:r>
        <w:rPr>
          <w:b w:val="1"/>
          <w:bCs w:val="1"/>
          <w:outline w:val="0"/>
          <w:color w:val="2b2b2b"/>
          <w:sz w:val="22"/>
          <w:szCs w:val="22"/>
          <w:u w:color="2b2b2b"/>
          <w:rtl w:val="0"/>
          <w14:textFill>
            <w14:solidFill>
              <w14:srgbClr w14:val="2B2B2B"/>
            </w14:solidFill>
          </w14:textFill>
        </w:rPr>
        <w:t xml:space="preserve">3.  </w:t>
      </w:r>
      <w:r>
        <w:rPr>
          <w:outline w:val="0"/>
          <w:color w:val="333333"/>
          <w:sz w:val="22"/>
          <w:szCs w:val="22"/>
          <w:u w:color="333333"/>
          <w:rtl w:val="0"/>
          <w:lang w:val="en-US"/>
          <w14:textFill>
            <w14:solidFill>
              <w14:srgbClr w14:val="333333"/>
            </w14:solidFill>
          </w14:textFill>
        </w:rPr>
        <w:t>The arbitration, or any court proceeding permitted under this Agreement, shall take place in the venue specified in Section 10 (Governing Law).</w:t>
      </w:r>
    </w:p>
    <w:p>
      <w:pPr>
        <w:pStyle w:val="Standard"/>
      </w:pPr>
      <w:r>
        <w:rPr>
          <w:b w:val="1"/>
          <w:bCs w:val="1"/>
          <w:outline w:val="0"/>
          <w:color w:val="2b2b2b"/>
          <w:sz w:val="22"/>
          <w:szCs w:val="22"/>
          <w:u w:color="2b2b2b"/>
          <w:rtl w:val="0"/>
          <w14:textFill>
            <w14:solidFill>
              <w14:srgbClr w14:val="2B2B2B"/>
            </w14:solidFill>
          </w14:textFill>
        </w:rPr>
        <w:t xml:space="preserve">4.  </w:t>
      </w:r>
      <w:r>
        <w:rPr>
          <w:outline w:val="0"/>
          <w:color w:val="333333"/>
          <w:sz w:val="22"/>
          <w:szCs w:val="22"/>
          <w:u w:color="333333"/>
          <w:rtl w:val="0"/>
          <w:lang w:val="en-US"/>
          <w14:textFill>
            <w14:solidFill>
              <w14:srgbClr w14:val="333333"/>
            </w14:solidFill>
          </w14:textFill>
        </w:rPr>
        <w:t>Nothing in this Section 9 shall prevent either Party from seeking urgent interim or injunctive relief from a competent court.</w:t>
      </w:r>
    </w:p>
    <w:p>
      <w:pPr>
        <w:pStyle w:val="Standard"/>
      </w:pPr>
    </w:p>
    <w:p>
      <w:pPr>
        <w:pStyle w:val="Heading"/>
      </w:pPr>
      <w:bookmarkStart w:name="_Toc9" w:id="9"/>
      <w:r>
        <w:rPr>
          <w:rFonts w:cs="Arial Unicode MS" w:eastAsia="Arial Unicode MS"/>
          <w:rtl w:val="0"/>
          <w:lang w:val="en-US"/>
        </w:rPr>
        <w:t>10. Governing Law</w:t>
      </w:r>
      <w:bookmarkEnd w:id="9"/>
    </w:p>
    <w:p>
      <w:pPr>
        <w:pStyle w:val="Standard"/>
      </w:pPr>
      <w:r>
        <w:rPr>
          <w:outline w:val="0"/>
          <w:color w:val="333333"/>
          <w:sz w:val="22"/>
          <w:szCs w:val="22"/>
          <w:u w:color="333333"/>
          <w:rtl w:val="0"/>
          <w:lang w:val="en-US"/>
          <w14:textFill>
            <w14:solidFill>
              <w14:srgbClr w14:val="333333"/>
            </w14:solidFill>
          </w14:textFill>
        </w:rPr>
        <w:t>This Agreement and any dispute or claim arising out of or in connection with it shall be governed by and construed in accordance with the laws of the jurisdiction specified in Exhibit A, without regard to conflict of laws principles.</w:t>
      </w:r>
    </w:p>
    <w:p>
      <w:pPr>
        <w:pStyle w:val="Standard"/>
      </w:pPr>
      <w:r>
        <w:rPr>
          <w:outline w:val="0"/>
          <w:color w:val="333333"/>
          <w:sz w:val="22"/>
          <w:szCs w:val="22"/>
          <w:u w:color="333333"/>
          <w:rtl w:val="0"/>
          <w:lang w:val="en-US"/>
          <w14:textFill>
            <w14:solidFill>
              <w14:srgbClr w14:val="333333"/>
            </w14:solidFill>
          </w14:textFill>
        </w:rPr>
        <w:t>The Parties submit to the exclusive jurisdiction of the courts of that jurisdiction for any matters not subject to arbitration under Section 9 (Dispute Resolution).</w:t>
      </w:r>
    </w:p>
    <w:p>
      <w:pPr>
        <w:pStyle w:val="Standard"/>
      </w:pPr>
    </w:p>
    <w:p>
      <w:pPr>
        <w:pStyle w:val="Heading"/>
      </w:pPr>
      <w:bookmarkStart w:name="_Toc10" w:id="10"/>
      <w:r>
        <w:rPr>
          <w:rFonts w:cs="Arial Unicode MS" w:eastAsia="Arial Unicode MS"/>
          <w:rtl w:val="0"/>
          <w:lang w:val="en-US"/>
        </w:rPr>
        <w:t>11. Signature Block</w:t>
      </w:r>
      <w:bookmarkEnd w:id="10"/>
    </w:p>
    <w:p>
      <w:pPr>
        <w:pStyle w:val="Standard"/>
      </w:pPr>
      <w:r>
        <w:rPr>
          <w:outline w:val="0"/>
          <w:color w:val="333333"/>
          <w:sz w:val="22"/>
          <w:szCs w:val="22"/>
          <w:u w:color="333333"/>
          <w:rtl w:val="0"/>
          <w:lang w:val="en-US"/>
          <w14:textFill>
            <w14:solidFill>
              <w14:srgbClr w14:val="333333"/>
            </w14:solidFill>
          </w14:textFill>
        </w:rPr>
        <w:t>IN WITNESS WHEREOF, the Parties have executed this Agreement as of the Effective Date.</w:t>
      </w:r>
    </w:p>
    <w:p>
      <w:pPr>
        <w:pStyle w:val="Standard"/>
      </w:pPr>
    </w:p>
    <w:p>
      <w:pPr>
        <w:pStyle w:val="Heading 2"/>
        <w:spacing w:before="400" w:after="160"/>
      </w:pPr>
      <w:r>
        <w:rPr>
          <w:rtl w:val="0"/>
          <w:lang w:val="en-US"/>
        </w:rPr>
        <w:t>Provider</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en-US"/>
                <w14:textFill>
                  <w14:solidFill>
                    <w14:srgbClr w14:val="2B2B2B"/>
                  </w14:solidFill>
                </w14:textFill>
              </w:rPr>
              <w:t>Signature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de-DE"/>
                <w14:textFill>
                  <w14:solidFill>
                    <w14:srgbClr w14:val="2B2B2B"/>
                  </w14:solidFill>
                </w14:textFill>
              </w:rPr>
              <w:t>Name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de-DE"/>
                <w14:textFill>
                  <w14:solidFill>
                    <w14:srgbClr w14:val="2B2B2B"/>
                  </w14:solidFill>
                </w14:textFill>
              </w:rPr>
              <w:t>Title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r>
        <w:tblPrEx>
          <w:shd w:val="clear" w:color="auto" w:fill="ced7e7"/>
        </w:tblPrEx>
        <w:trPr>
          <w:trHeight w:val="237"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de-DE"/>
                <w14:textFill>
                  <w14:solidFill>
                    <w14:srgbClr w14:val="2B2B2B"/>
                  </w14:solidFill>
                </w14:textFill>
              </w:rPr>
              <w:t>Date</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bl>
    <w:p>
      <w:pPr>
        <w:pStyle w:val="Heading 2"/>
        <w:widowControl w:val="0"/>
        <w:spacing w:before="400" w:after="160"/>
      </w:pPr>
    </w:p>
    <w:p>
      <w:pPr>
        <w:pStyle w:val="Heading 2"/>
        <w:widowControl w:val="0"/>
        <w:spacing w:before="400" w:after="160"/>
      </w:pPr>
    </w:p>
    <w:p>
      <w:pPr>
        <w:pStyle w:val="Heading 2"/>
        <w:spacing w:before="400" w:after="160"/>
      </w:pPr>
      <w:r>
        <w:rPr>
          <w:rtl w:val="0"/>
          <w:lang w:val="fr-FR"/>
        </w:rPr>
        <w:t>Client</w:t>
      </w: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en-US"/>
                <w14:textFill>
                  <w14:solidFill>
                    <w14:srgbClr w14:val="2B2B2B"/>
                  </w14:solidFill>
                </w14:textFill>
              </w:rPr>
              <w:t>Signature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de-DE"/>
                <w14:textFill>
                  <w14:solidFill>
                    <w14:srgbClr w14:val="2B2B2B"/>
                  </w14:solidFill>
                </w14:textFill>
              </w:rPr>
              <w:t>Name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de-DE"/>
                <w14:textFill>
                  <w14:solidFill>
                    <w14:srgbClr w14:val="2B2B2B"/>
                  </w14:solidFill>
                </w14:textFill>
              </w:rPr>
              <w:t>Title</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r>
        <w:tblPrEx>
          <w:shd w:val="clear" w:color="auto" w:fill="ced7e7"/>
        </w:tblPrEx>
        <w:trPr>
          <w:trHeight w:val="237"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de-DE"/>
                <w14:textFill>
                  <w14:solidFill>
                    <w14:srgbClr w14:val="2B2B2B"/>
                  </w14:solidFill>
                </w14:textFill>
              </w:rPr>
              <w:t>Date</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________________________</w:t>
            </w:r>
          </w:p>
        </w:tc>
      </w:tr>
    </w:tbl>
    <w:p>
      <w:pPr>
        <w:pStyle w:val="Heading 2"/>
        <w:widowControl w:val="0"/>
        <w:spacing w:before="400" w:after="160"/>
      </w:pPr>
    </w:p>
    <w:p>
      <w:pPr>
        <w:pStyle w:val="Heading 2"/>
        <w:widowControl w:val="0"/>
        <w:spacing w:before="400" w:after="160"/>
      </w:pPr>
    </w:p>
    <w:p>
      <w:pPr>
        <w:pStyle w:val="Heading"/>
      </w:pPr>
      <w:bookmarkStart w:name="_Toc11" w:id="11"/>
      <w:r>
        <w:rPr>
          <w:rFonts w:cs="Arial Unicode MS" w:eastAsia="Arial Unicode MS"/>
          <w:rtl w:val="0"/>
          <w:lang w:val="da-DK"/>
        </w:rPr>
        <w:t xml:space="preserve">Appendix </w:t>
      </w:r>
      <w:r>
        <w:rPr>
          <w:rFonts w:cs="Arial Unicode MS" w:eastAsia="Arial Unicode MS" w:hint="default"/>
          <w:rtl w:val="0"/>
          <w:lang w:val="en-US"/>
        </w:rPr>
        <w:t xml:space="preserve">— </w:t>
      </w:r>
      <w:r>
        <w:rPr>
          <w:rFonts w:cs="Arial Unicode MS" w:eastAsia="Arial Unicode MS"/>
          <w:rtl w:val="0"/>
          <w:lang w:val="en-US"/>
        </w:rPr>
        <w:t>Exhibit A: Service Schedule</w:t>
      </w:r>
      <w:bookmarkEnd w:id="11"/>
    </w:p>
    <w:p>
      <w:pPr>
        <w:pStyle w:val="Standard"/>
      </w:pPr>
      <w:r>
        <w:rPr>
          <w:outline w:val="0"/>
          <w:color w:val="333333"/>
          <w:sz w:val="22"/>
          <w:szCs w:val="22"/>
          <w:u w:color="333333"/>
          <w:rtl w:val="0"/>
          <w:lang w:val="en-US"/>
          <w14:textFill>
            <w14:solidFill>
              <w14:srgbClr w14:val="333333"/>
            </w14:solidFill>
          </w14:textFill>
        </w:rPr>
        <w:t>This Exhibit A forms an integral part of the Agreement and sets out the Services, deliverables, timelines, and Fees referenced in Section 2 (Scope of Services) and Section 4 (Fees and Payment Terms).</w:t>
      </w:r>
    </w:p>
    <w:p>
      <w:pPr>
        <w:pStyle w:val="Standard"/>
      </w:pPr>
    </w:p>
    <w:p>
      <w:pPr>
        <w:pStyle w:val="Standard"/>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872"/>
        <w:gridCol w:w="1872"/>
        <w:gridCol w:w="1872"/>
        <w:gridCol w:w="1872"/>
        <w:gridCol w:w="1872"/>
      </w:tblGrid>
      <w:tr>
        <w:tblPrEx>
          <w:shd w:val="clear" w:color="auto" w:fill="4f81bd"/>
        </w:tblPrEx>
        <w:trPr>
          <w:trHeight w:val="214" w:hRule="atLeast"/>
          <w:tblHeader/>
        </w:trPr>
        <w:tc>
          <w:tcPr>
            <w:tcW w:type="dxa" w:w="1872"/>
            <w:tcBorders>
              <w:top w:val="single" w:color="2b2b2b" w:sz="1" w:space="0" w:shadow="0" w:frame="0"/>
              <w:left w:val="single" w:color="2b2b2b" w:sz="1" w:space="0" w:shadow="0" w:frame="0"/>
              <w:bottom w:val="single" w:color="e0e0e0" w:sz="1" w:space="0" w:shadow="0" w:frame="0"/>
              <w:right w:val="single" w:color="2b2b2b" w:sz="1" w:space="0" w:shadow="0" w:frame="0"/>
            </w:tcBorders>
            <w:shd w:val="clear" w:color="auto" w:fill="2b2b2b"/>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Service</w:t>
            </w:r>
          </w:p>
        </w:tc>
        <w:tc>
          <w:tcPr>
            <w:tcW w:type="dxa" w:w="1872"/>
            <w:tcBorders>
              <w:top w:val="single" w:color="2b2b2b" w:sz="1" w:space="0" w:shadow="0" w:frame="0"/>
              <w:left w:val="single" w:color="2b2b2b" w:sz="1" w:space="0" w:shadow="0" w:frame="0"/>
              <w:bottom w:val="single" w:color="e0e0e0" w:sz="1" w:space="0" w:shadow="0" w:frame="0"/>
              <w:right w:val="single" w:color="2b2b2b" w:sz="1" w:space="0" w:shadow="0" w:frame="0"/>
            </w:tcBorders>
            <w:shd w:val="clear" w:color="auto" w:fill="2b2b2b"/>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fr-FR"/>
                <w14:textFill>
                  <w14:solidFill>
                    <w14:srgbClr w14:val="FFFFFF"/>
                  </w14:solidFill>
                </w14:textFill>
              </w:rPr>
              <w:t>Description</w:t>
            </w:r>
          </w:p>
        </w:tc>
        <w:tc>
          <w:tcPr>
            <w:tcW w:type="dxa" w:w="1872"/>
            <w:tcBorders>
              <w:top w:val="single" w:color="2b2b2b" w:sz="1" w:space="0" w:shadow="0" w:frame="0"/>
              <w:left w:val="single" w:color="2b2b2b" w:sz="1" w:space="0" w:shadow="0" w:frame="0"/>
              <w:bottom w:val="single" w:color="e0e0e0" w:sz="1" w:space="0" w:shadow="0" w:frame="0"/>
              <w:right w:val="single" w:color="2b2b2b" w:sz="1" w:space="0" w:shadow="0" w:frame="0"/>
            </w:tcBorders>
            <w:shd w:val="clear" w:color="auto" w:fill="2b2b2b"/>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en-US"/>
                <w14:textFill>
                  <w14:solidFill>
                    <w14:srgbClr w14:val="FFFFFF"/>
                  </w14:solidFill>
                </w14:textFill>
              </w:rPr>
              <w:t>Deliverable</w:t>
            </w:r>
          </w:p>
        </w:tc>
        <w:tc>
          <w:tcPr>
            <w:tcW w:type="dxa" w:w="1872"/>
            <w:tcBorders>
              <w:top w:val="single" w:color="2b2b2b" w:sz="1" w:space="0" w:shadow="0" w:frame="0"/>
              <w:left w:val="single" w:color="2b2b2b" w:sz="1" w:space="0" w:shadow="0" w:frame="0"/>
              <w:bottom w:val="single" w:color="e0e0e0" w:sz="1" w:space="0" w:shadow="0" w:frame="0"/>
              <w:right w:val="single" w:color="2b2b2b" w:sz="1" w:space="0" w:shadow="0" w:frame="0"/>
            </w:tcBorders>
            <w:shd w:val="clear" w:color="auto" w:fill="2b2b2b"/>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da-DK"/>
                <w14:textFill>
                  <w14:solidFill>
                    <w14:srgbClr w14:val="FFFFFF"/>
                  </w14:solidFill>
                </w14:textFill>
              </w:rPr>
              <w:t>Timeline</w:t>
            </w:r>
          </w:p>
        </w:tc>
        <w:tc>
          <w:tcPr>
            <w:tcW w:type="dxa" w:w="1872"/>
            <w:tcBorders>
              <w:top w:val="single" w:color="2b2b2b" w:sz="1" w:space="0" w:shadow="0" w:frame="0"/>
              <w:left w:val="single" w:color="2b2b2b" w:sz="1" w:space="0" w:shadow="0" w:frame="0"/>
              <w:bottom w:val="single" w:color="e0e0e0" w:sz="1" w:space="0" w:shadow="0" w:frame="0"/>
              <w:right w:val="single" w:color="2b2b2b" w:sz="1" w:space="0" w:shadow="0" w:frame="0"/>
            </w:tcBorders>
            <w:shd w:val="clear" w:color="auto" w:fill="2b2b2b"/>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b w:val="1"/>
                <w:bCs w:val="1"/>
                <w:outline w:val="0"/>
                <w:color w:val="ffffff"/>
                <w:sz w:val="20"/>
                <w:szCs w:val="20"/>
                <w:u w:color="ffffff"/>
                <w:shd w:val="nil" w:color="auto" w:fill="auto"/>
                <w:rtl w:val="0"/>
                <w:lang w:val="nl-NL"/>
                <w14:textFill>
                  <w14:solidFill>
                    <w14:srgbClr w14:val="FFFFFF"/>
                  </w14:solidFill>
                </w14:textFill>
              </w:rPr>
              <w:t>Fee</w:t>
            </w:r>
          </w:p>
        </w:tc>
      </w:tr>
      <w:tr>
        <w:tblPrEx>
          <w:shd w:val="clear" w:color="auto" w:fill="ced7e7"/>
        </w:tblPrEx>
        <w:trPr>
          <w:trHeight w:val="739" w:hRule="atLeast"/>
        </w:trPr>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Onboarding</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Initial setup and account configuration</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Onboarding Report</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Weeks 1-2</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Included in Base Fee</w:t>
            </w:r>
          </w:p>
        </w:tc>
      </w:tr>
      <w:tr>
        <w:tblPrEx>
          <w:shd w:val="clear" w:color="auto" w:fill="ced7e7"/>
        </w:tblPrEx>
        <w:trPr>
          <w:trHeight w:val="739" w:hRule="atLeast"/>
        </w:trPr>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Core Services</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Ongoing delivery of Services described herein</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Monthly Status Report</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Monthly, recurring</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As per monthly Fee schedule</w:t>
            </w:r>
          </w:p>
        </w:tc>
      </w:tr>
      <w:tr>
        <w:tblPrEx>
          <w:shd w:val="clear" w:color="auto" w:fill="ced7e7"/>
        </w:tblPrEx>
        <w:trPr>
          <w:trHeight w:val="739" w:hRule="atLeast"/>
        </w:trPr>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Support &amp; Maintenance</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Ongoing technical and operational support</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it-IT"/>
                <w14:textFill>
                  <w14:solidFill>
                    <w14:srgbClr w14:val="333333"/>
                  </w14:solidFill>
                </w14:textFill>
              </w:rPr>
              <w:t>Support Log</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Ongoing, Term duration</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Included in Base Fee</w:t>
            </w:r>
          </w:p>
        </w:tc>
      </w:tr>
      <w:tr>
        <w:tblPrEx>
          <w:shd w:val="clear" w:color="auto" w:fill="ced7e7"/>
        </w:tblPrEx>
        <w:trPr>
          <w:trHeight w:val="739" w:hRule="atLeast"/>
        </w:trPr>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Quarterly Review</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Performance review and roadmap alignment</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Quarterly Review Report</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Every 3 months</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fffff"/>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No additional charge</w:t>
            </w:r>
          </w:p>
        </w:tc>
      </w:tr>
      <w:tr>
        <w:tblPrEx>
          <w:shd w:val="clear" w:color="auto" w:fill="ced7e7"/>
        </w:tblPrEx>
        <w:trPr>
          <w:trHeight w:val="739" w:hRule="atLeast"/>
        </w:trPr>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Optional Add-On Services</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Additional services requested via change order</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Change Order Deliverable</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en-US"/>
                <w14:textFill>
                  <w14:solidFill>
                    <w14:srgbClr w14:val="333333"/>
                  </w14:solidFill>
                </w14:textFill>
              </w:rPr>
              <w:t>As agreed per change order</w:t>
            </w:r>
          </w:p>
        </w:tc>
        <w:tc>
          <w:tcPr>
            <w:tcW w:type="dxa" w:w="1872"/>
            <w:tcBorders>
              <w:top w:val="single" w:color="e0e0e0" w:sz="1" w:space="0" w:shadow="0" w:frame="0"/>
              <w:left w:val="single" w:color="e0e0e0" w:sz="1" w:space="0" w:shadow="0" w:frame="0"/>
              <w:bottom w:val="single" w:color="e0e0e0" w:sz="1" w:space="0" w:shadow="0" w:frame="0"/>
              <w:right w:val="single" w:color="e0e0e0" w:sz="1" w:space="0" w:shadow="0" w:frame="0"/>
            </w:tcBorders>
            <w:shd w:val="clear" w:color="auto" w:fill="f8f9fa"/>
            <w:tcMar>
              <w:top w:type="dxa" w:w="80"/>
              <w:left w:type="dxa" w:w="80"/>
              <w:bottom w:type="dxa" w:w="80"/>
              <w:right w:type="dxa" w:w="80"/>
            </w:tcMar>
            <w:vAlign w:val="top"/>
          </w:tcPr>
          <w:p>
            <w:pPr>
              <w:pStyle w:val="Default"/>
              <w:tabs>
                <w:tab w:val="left" w:pos="720"/>
                <w:tab w:val="left" w:pos="1440"/>
              </w:tabs>
              <w:bidi w:val="0"/>
              <w:ind w:left="0" w:right="0" w:firstLine="0"/>
              <w:jc w:val="left"/>
              <w:rPr>
                <w:rtl w:val="0"/>
              </w:rPr>
            </w:pPr>
            <w:r>
              <w:rPr>
                <w:rFonts w:ascii="Times New Roman" w:hAnsi="Times New Roman"/>
                <w:outline w:val="0"/>
                <w:color w:val="333333"/>
                <w:sz w:val="20"/>
                <w:szCs w:val="20"/>
                <w:u w:color="333333"/>
                <w:shd w:val="nil" w:color="auto" w:fill="auto"/>
                <w:rtl w:val="0"/>
                <w:lang w:val="it-IT"/>
                <w14:textFill>
                  <w14:solidFill>
                    <w14:srgbClr w14:val="333333"/>
                  </w14:solidFill>
                </w14:textFill>
              </w:rPr>
              <w:t>Per change order</w:t>
            </w:r>
          </w:p>
        </w:tc>
      </w:tr>
    </w:tbl>
    <w:p>
      <w:pPr>
        <w:pStyle w:val="Standard"/>
        <w:widowControl w:val="0"/>
      </w:pPr>
    </w:p>
    <w:p>
      <w:pPr>
        <w:pStyle w:val="Standard"/>
        <w:widowControl w:val="0"/>
      </w:pPr>
    </w:p>
    <w:tbl>
      <w:tblPr>
        <w:tblW w:w="93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808"/>
        <w:gridCol w:w="6552"/>
      </w:tblGrid>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en-US"/>
                <w14:textFill>
                  <w14:solidFill>
                    <w14:srgbClr w14:val="2B2B2B"/>
                  </w14:solidFill>
                </w14:textFill>
              </w:rPr>
              <w:t>Governing Jurisdiction</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To be specified by the Parties prior to execution</w:t>
            </w:r>
          </w:p>
        </w:tc>
      </w:tr>
      <w:tr>
        <w:tblPrEx>
          <w:shd w:val="clear" w:color="auto" w:fill="ced7e7"/>
        </w:tblPrEx>
        <w:trPr>
          <w:trHeight w:val="241" w:hRule="atLeast"/>
        </w:trPr>
        <w:tc>
          <w:tcPr>
            <w:tcW w:type="dxa" w:w="28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en-US"/>
                <w14:textFill>
                  <w14:solidFill>
                    <w14:srgbClr w14:val="2B2B2B"/>
                  </w14:solidFill>
                </w14:textFill>
              </w:rPr>
              <w:t>Initial Term</w:t>
            </w:r>
          </w:p>
        </w:tc>
        <w:tc>
          <w:tcPr>
            <w:tcW w:type="dxa" w:w="65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Twelve (12) months from the Effective Date</w:t>
            </w:r>
          </w:p>
        </w:tc>
      </w:tr>
      <w:tr>
        <w:tblPrEx>
          <w:shd w:val="clear" w:color="auto" w:fill="ced7e7"/>
        </w:tblPrEx>
        <w:trPr>
          <w:trHeight w:val="237" w:hRule="atLeast"/>
        </w:trPr>
        <w:tc>
          <w:tcPr>
            <w:tcW w:type="dxa" w:w="2808"/>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s>
              <w:bidi w:val="0"/>
              <w:ind w:left="0" w:right="0" w:firstLine="0"/>
              <w:jc w:val="left"/>
              <w:rPr>
                <w:rtl w:val="0"/>
              </w:rPr>
            </w:pPr>
            <w:r>
              <w:rPr>
                <w:rFonts w:ascii="Times New Roman" w:hAnsi="Times New Roman"/>
                <w:b w:val="1"/>
                <w:bCs w:val="1"/>
                <w:outline w:val="0"/>
                <w:color w:val="2b2b2b"/>
                <w:sz w:val="22"/>
                <w:szCs w:val="22"/>
                <w:u w:color="2b2b2b"/>
                <w:shd w:val="nil" w:color="auto" w:fill="auto"/>
                <w:rtl w:val="0"/>
                <w:lang w:val="en-US"/>
                <w14:textFill>
                  <w14:solidFill>
                    <w14:srgbClr w14:val="2B2B2B"/>
                  </w14:solidFill>
                </w14:textFill>
              </w:rPr>
              <w:t>Invoicing Frequency</w:t>
            </w:r>
          </w:p>
        </w:tc>
        <w:tc>
          <w:tcPr>
            <w:tcW w:type="dxa" w:w="6552"/>
            <w:tcBorders>
              <w:top w:val="single" w:color="000000" w:sz="4" w:space="0" w:shadow="0" w:frame="0"/>
              <w:left w:val="single" w:color="000000" w:sz="4" w:space="0" w:shadow="0" w:frame="0"/>
              <w:bottom w:val="single" w:color="eeeeee" w:sz="1"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720"/>
                <w:tab w:val="left" w:pos="1440"/>
                <w:tab w:val="left" w:pos="2160"/>
                <w:tab w:val="left" w:pos="2880"/>
                <w:tab w:val="left" w:pos="3600"/>
                <w:tab w:val="left" w:pos="4320"/>
                <w:tab w:val="left" w:pos="5040"/>
                <w:tab w:val="left" w:pos="5760"/>
                <w:tab w:val="left" w:pos="6480"/>
              </w:tabs>
              <w:bidi w:val="0"/>
              <w:ind w:left="0" w:right="0" w:firstLine="0"/>
              <w:jc w:val="left"/>
              <w:rPr>
                <w:rtl w:val="0"/>
              </w:rPr>
            </w:pPr>
            <w:r>
              <w:rPr>
                <w:rFonts w:ascii="Times New Roman" w:hAnsi="Times New Roman"/>
                <w:outline w:val="0"/>
                <w:color w:val="333333"/>
                <w:sz w:val="22"/>
                <w:szCs w:val="22"/>
                <w:u w:color="333333"/>
                <w:shd w:val="nil" w:color="auto" w:fill="auto"/>
                <w:rtl w:val="0"/>
                <w:lang w:val="en-US"/>
                <w14:textFill>
                  <w14:solidFill>
                    <w14:srgbClr w14:val="333333"/>
                  </w14:solidFill>
                </w14:textFill>
              </w:rPr>
              <w:t>Monthly</w:t>
            </w:r>
          </w:p>
        </w:tc>
      </w:tr>
    </w:tbl>
    <w:p>
      <w:pPr>
        <w:pStyle w:val="Standard"/>
        <w:widowControl w:val="0"/>
      </w:p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TOC 1">
    <w:name w:val="TOC 1"/>
    <w:next w:val="TOC 1"/>
    <w:pPr>
      <w:keepNext w:val="0"/>
      <w:keepLines w:val="0"/>
      <w:pageBreakBefore w:val="0"/>
      <w:widowControl w:val="1"/>
      <w:shd w:val="clear" w:color="auto" w:fill="auto"/>
      <w:tabs>
        <w:tab w:val="right" w:pos="9026" w:leader="dot"/>
      </w:tabs>
      <w:suppressAutoHyphens w:val="0"/>
      <w:bidi w:val="0"/>
      <w:spacing w:before="0" w:after="12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333333"/>
      <w:spacing w:val="0"/>
      <w:kern w:val="0"/>
      <w:position w:val="0"/>
      <w:sz w:val="22"/>
      <w:szCs w:val="22"/>
      <w:u w:val="none" w:color="333333"/>
      <w:shd w:val="nil" w:color="auto" w:fill="auto"/>
      <w:vertAlign w:val="baseline"/>
      <w14:textFill>
        <w14:solidFill>
          <w14:srgbClr w14:val="333333"/>
        </w14:solidFill>
      </w14:textFill>
    </w:rPr>
  </w:style>
  <w:style w:type="paragraph" w:styleId="Heading">
    <w:name w:val="Heading"/>
    <w:next w:val="Heading"/>
    <w:pPr>
      <w:keepNext w:val="0"/>
      <w:keepLines w:val="0"/>
      <w:pageBreakBefore w:val="0"/>
      <w:widowControl w:val="1"/>
      <w:shd w:val="clear" w:color="auto" w:fill="auto"/>
      <w:suppressAutoHyphens w:val="0"/>
      <w:bidi w:val="0"/>
      <w:spacing w:before="400" w:after="160" w:line="240" w:lineRule="auto"/>
      <w:ind w:left="0" w:right="0" w:firstLine="0"/>
      <w:jc w:val="left"/>
      <w:outlineLvl w:val="0"/>
    </w:pPr>
    <w:rPr>
      <w:rFonts w:ascii="Times New Roman" w:cs="Times New Roman" w:hAnsi="Times New Roman" w:eastAsia="Times New Roman"/>
      <w:b w:val="1"/>
      <w:bCs w:val="1"/>
      <w:i w:val="0"/>
      <w:iCs w:val="0"/>
      <w:caps w:val="0"/>
      <w:smallCaps w:val="0"/>
      <w:strike w:val="0"/>
      <w:dstrike w:val="0"/>
      <w:outline w:val="0"/>
      <w:color w:val="2b2b2b"/>
      <w:spacing w:val="0"/>
      <w:kern w:val="0"/>
      <w:position w:val="0"/>
      <w:sz w:val="32"/>
      <w:szCs w:val="32"/>
      <w:u w:val="none" w:color="2b2b2b"/>
      <w:shd w:val="nil" w:color="auto" w:fill="auto"/>
      <w:vertAlign w:val="baseline"/>
      <w14:textOutline>
        <w14:noFill/>
      </w14:textOutline>
      <w14:textFill>
        <w14:solidFill>
          <w14:srgbClr w14:val="2B2B2B"/>
        </w14:solidFill>
      </w14:textFill>
    </w:rPr>
  </w:style>
  <w:style w:type="paragraph" w:styleId="TOC 2">
    <w:name w:val="TOC 2"/>
    <w:next w:val="TOC 2"/>
    <w:pPr>
      <w:keepNext w:val="0"/>
      <w:keepLines w:val="0"/>
      <w:pageBreakBefore w:val="0"/>
      <w:widowControl w:val="1"/>
      <w:shd w:val="clear" w:color="auto" w:fill="auto"/>
      <w:tabs>
        <w:tab w:val="right" w:pos="9026" w:leader="dot"/>
      </w:tabs>
      <w:suppressAutoHyphens w:val="0"/>
      <w:bidi w:val="0"/>
      <w:spacing w:before="0" w:after="100" w:line="240" w:lineRule="auto"/>
      <w:ind w:left="24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555555"/>
      <w:spacing w:val="0"/>
      <w:kern w:val="0"/>
      <w:position w:val="0"/>
      <w:sz w:val="22"/>
      <w:szCs w:val="22"/>
      <w:u w:val="none" w:color="555555"/>
      <w:shd w:val="nil" w:color="auto" w:fill="auto"/>
      <w:vertAlign w:val="baseline"/>
      <w14:textFill>
        <w14:solidFill>
          <w14:srgbClr w14:val="555555"/>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320" w:after="140" w:line="240" w:lineRule="auto"/>
      <w:ind w:left="0" w:right="0" w:firstLine="0"/>
      <w:jc w:val="left"/>
      <w:outlineLvl w:val="1"/>
    </w:pPr>
    <w:rPr>
      <w:rFonts w:ascii="Times New Roman" w:cs="Times New Roman" w:hAnsi="Times New Roman" w:eastAsia="Times New Roman"/>
      <w:b w:val="1"/>
      <w:bCs w:val="1"/>
      <w:i w:val="0"/>
      <w:iCs w:val="0"/>
      <w:caps w:val="0"/>
      <w:smallCaps w:val="0"/>
      <w:strike w:val="0"/>
      <w:dstrike w:val="0"/>
      <w:outline w:val="0"/>
      <w:color w:val="2b2b2b"/>
      <w:spacing w:val="0"/>
      <w:kern w:val="0"/>
      <w:position w:val="0"/>
      <w:sz w:val="26"/>
      <w:szCs w:val="26"/>
      <w:u w:val="none" w:color="2b2b2b"/>
      <w:shd w:val="nil" w:color="auto" w:fill="auto"/>
      <w:vertAlign w:val="baseline"/>
      <w14:textOutline>
        <w14:noFill/>
      </w14:textOutline>
      <w14:textFill>
        <w14:solidFill>
          <w14:srgbClr w14:val="2B2B2B"/>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