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inline distT="0" distB="0" distL="0" distR="0">
            <wp:extent cx="2066925" cy="36195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066925" cy="3619500"/>
                    </a:xfrm>
                    <a:prstGeom prst="rect">
                      <a:avLst/>
                    </a:prstGeom>
                    <a:ln w="12700" cap="flat">
                      <a:noFill/>
                      <a:miter lim="400000"/>
                    </a:ln>
                    <a:effectLst/>
                  </pic:spPr>
                </pic:pic>
              </a:graphicData>
            </a:graphic>
          </wp:inline>
        </w:drawing>
      </w:r>
    </w:p>
    <w:p>
      <w:pPr>
        <w:pStyle w:val="Body"/>
        <w:bidi w:val="0"/>
      </w:pPr>
      <w:r>
        <w:rPr>
          <w:rFonts w:ascii="Times New Roman" w:hAnsi="Times New Roman"/>
          <w:b w:val="1"/>
          <w:bCs w:val="1"/>
          <w:outline w:val="0"/>
          <w:color w:val="4a6b8a"/>
          <w:sz w:val="60"/>
          <w:szCs w:val="60"/>
          <w:u w:color="4a6b8a"/>
          <w:rtl w:val="0"/>
          <w:lang w:val="en-US"/>
          <w14:textFill>
            <w14:solidFill>
              <w14:srgbClr w14:val="4A6B8A"/>
            </w14:solidFill>
          </w14:textFill>
        </w:rPr>
        <w:t>Technical Specifications</w:t>
      </w:r>
    </w:p>
    <w:p>
      <w:pPr>
        <w:pStyle w:val="Body"/>
        <w:bidi w:val="0"/>
      </w:pPr>
      <w:r>
        <w:rPr>
          <w:rFonts w:ascii="Times New Roman" w:hAnsi="Times New Roman"/>
          <w:i w:val="1"/>
          <w:iCs w:val="1"/>
          <w:outline w:val="0"/>
          <w:color w:val="555555"/>
          <w:sz w:val="30"/>
          <w:szCs w:val="30"/>
          <w:u w:color="555555"/>
          <w:rtl w:val="0"/>
          <w:lang w:val="en-US"/>
          <w14:textFill>
            <w14:solidFill>
              <w14:srgbClr w14:val="555555"/>
            </w14:solidFill>
          </w14:textFill>
        </w:rPr>
        <w:t xml:space="preserve">Frontend Deployment </w:t>
      </w:r>
      <w:r>
        <w:rPr>
          <w:rFonts w:ascii="Times New Roman" w:hAnsi="Times New Roman" w:hint="default"/>
          <w:i w:val="1"/>
          <w:iCs w:val="1"/>
          <w:outline w:val="0"/>
          <w:color w:val="555555"/>
          <w:sz w:val="30"/>
          <w:szCs w:val="30"/>
          <w:u w:color="555555"/>
          <w:rtl w:val="0"/>
          <w:lang w:val="en-US"/>
          <w14:textFill>
            <w14:solidFill>
              <w14:srgbClr w14:val="555555"/>
            </w14:solidFill>
          </w14:textFill>
        </w:rPr>
        <w:t xml:space="preserve">— </w:t>
      </w:r>
      <w:r>
        <w:rPr>
          <w:rFonts w:ascii="Times New Roman" w:hAnsi="Times New Roman"/>
          <w:i w:val="1"/>
          <w:iCs w:val="1"/>
          <w:outline w:val="0"/>
          <w:color w:val="555555"/>
          <w:sz w:val="30"/>
          <w:szCs w:val="30"/>
          <w:u w:color="555555"/>
          <w:rtl w:val="0"/>
          <w:lang w:val="en-US"/>
          <w14:textFill>
            <w14:solidFill>
              <w14:srgbClr w14:val="555555"/>
            </w14:solidFill>
          </w14:textFill>
        </w:rPr>
        <w:t>Engineering Reference Document</w:t>
      </w:r>
    </w:p>
    <w:p>
      <w:pPr>
        <w:pStyle w:val="Body"/>
        <w:bidi w:val="0"/>
      </w:pPr>
      <w:r>
        <w:rPr>
          <w:outline w:val="0"/>
          <w:color w:val="777777"/>
          <w:u w:color="777777"/>
          <w:rtl w:val="0"/>
          <w:lang w:val="en-US"/>
          <w14:textFill>
            <w14:solidFill>
              <w14:srgbClr w14:val="777777"/>
            </w14:solidFill>
          </w14:textFill>
        </w:rPr>
        <w:t>Engineering Platform Team</w:t>
      </w:r>
    </w:p>
    <w:p>
      <w:pPr>
        <w:pStyle w:val="Body"/>
        <w:bidi w:val="0"/>
      </w:pPr>
      <w:r>
        <w:rPr>
          <w:rFonts w:ascii="Arial Unicode MS" w:cs="Arial Unicode MS" w:hAnsi="Arial Unicode MS" w:eastAsia="Arial Unicode MS"/>
          <w:b w:val="0"/>
          <w:bCs w:val="0"/>
          <w:i w:val="0"/>
          <w:iCs w:val="0"/>
        </w:rPr>
        <w:br w:type="page"/>
      </w:r>
    </w:p>
    <w:p>
      <w:pPr>
        <w:pStyle w:val="Body"/>
        <w:bidi w:val="0"/>
      </w:pPr>
      <w:r>
        <w:rPr/>
        <w:fldChar w:fldCharType="begin" w:fldLock="0"/>
      </w:r>
      <w:r>
        <w:instrText xml:space="preserve"> TOC \o 1-1 </w:instrText>
      </w:r>
      <w:r>
        <w:rPr/>
        <w:fldChar w:fldCharType="separate" w:fldLock="0"/>
      </w:r>
    </w:p>
    <w:p>
      <w:pPr>
        <w:pStyle w:val="TOC 1"/>
      </w:pPr>
      <w:r>
        <w:rPr>
          <w:rFonts w:cs="Arial Unicode MS" w:eastAsia="Arial Unicode MS"/>
          <w:rtl w:val="0"/>
          <w:lang w:val="en-US"/>
        </w:rPr>
        <w:t>Overview &amp; Objectives</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System Requirements</w:t>
        <w:tab/>
      </w:r>
      <w:r>
        <w:rPr/>
        <w:fldChar w:fldCharType="begin" w:fldLock="0"/>
      </w:r>
      <w:r>
        <w:instrText xml:space="preserve"> PAGEREF _Toc1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Architecture Summary</w:t>
        <w:tab/>
      </w:r>
      <w:r>
        <w:rPr/>
        <w:fldChar w:fldCharType="begin" w:fldLock="0"/>
      </w:r>
      <w:r>
        <w:instrText xml:space="preserve"> PAGEREF _Toc2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Component Breakdown</w:t>
        <w:tab/>
      </w:r>
      <w:r>
        <w:rPr/>
        <w:fldChar w:fldCharType="begin" w:fldLock="0"/>
      </w:r>
      <w:r>
        <w:instrText xml:space="preserve"> PAGEREF _Toc3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API Integration Requirements</w:t>
        <w:tab/>
      </w:r>
      <w:r>
        <w:rPr/>
        <w:fldChar w:fldCharType="begin" w:fldLock="0"/>
      </w:r>
      <w:r>
        <w:instrText xml:space="preserve"> PAGEREF _Toc4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Environment Configuration</w:t>
        <w:tab/>
      </w:r>
      <w:r>
        <w:rPr/>
        <w:fldChar w:fldCharType="begin" w:fldLock="0"/>
      </w:r>
      <w:r>
        <w:instrText xml:space="preserve"> PAGEREF _Toc5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Deployment Process</w:t>
        <w:tab/>
      </w:r>
      <w:r>
        <w:rPr/>
        <w:fldChar w:fldCharType="begin" w:fldLock="0"/>
      </w:r>
      <w:r>
        <w:instrText xml:space="preserve"> PAGEREF _Toc6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Testing &amp; QA Criteria</w:t>
        <w:tab/>
      </w:r>
      <w:r>
        <w:rPr/>
        <w:fldChar w:fldCharType="begin" w:fldLock="0"/>
      </w:r>
      <w:r>
        <w:instrText xml:space="preserve"> PAGEREF _Toc7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Rollback Plan</w:t>
        <w:tab/>
      </w:r>
      <w:r>
        <w:rPr/>
        <w:fldChar w:fldCharType="begin" w:fldLock="0"/>
      </w:r>
      <w:r>
        <w:instrText xml:space="preserve"> PAGEREF _Toc8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hint="default"/>
          <w:rtl w:val="0"/>
          <w:lang w:val="en-US"/>
        </w:rPr>
        <w:t>Appendix — Glossary</w:t>
        <w:tab/>
      </w:r>
      <w:r>
        <w:rPr/>
        <w:fldChar w:fldCharType="begin" w:fldLock="0"/>
      </w:r>
      <w:r>
        <w:instrText xml:space="preserve"> PAGEREF _Toc9 \h </w:instrText>
      </w:r>
      <w:r>
        <w:rPr/>
        <w:fldChar w:fldCharType="separate" w:fldLock="0"/>
      </w:r>
      <w:r>
        <w:rPr>
          <w:rFonts w:cs="Arial Unicode MS" w:eastAsia="Arial Unicode MS"/>
          <w:rtl w:val="0"/>
        </w:rPr>
        <w:t>6</w:t>
      </w:r>
      <w:r>
        <w:rPr/>
        <w:fldChar w:fldCharType="end" w:fldLock="0"/>
      </w:r>
    </w:p>
    <w:p>
      <w:pPr>
        <w:pStyle w:val="Body"/>
        <w:bidi w:val="0"/>
      </w:pPr>
      <w:r>
        <w:rPr/>
        <w:fldChar w:fldCharType="end" w:fldLock="0"/>
      </w:r>
    </w:p>
    <w:p>
      <w:pPr>
        <w:pStyle w:val="Body"/>
        <w:bidi w:val="0"/>
      </w:pPr>
      <w:r>
        <w:rPr>
          <w:rFonts w:ascii="Arial Unicode MS" w:cs="Arial Unicode MS" w:hAnsi="Arial Unicode MS" w:eastAsia="Arial Unicode MS"/>
          <w:b w:val="0"/>
          <w:bCs w:val="0"/>
          <w:i w:val="0"/>
          <w:iCs w:val="0"/>
        </w:rPr>
        <w:br w:type="page"/>
      </w:r>
    </w:p>
    <w:p>
      <w:pPr>
        <w:pStyle w:val="Heading"/>
      </w:pPr>
      <w:bookmarkStart w:name="_Toc" w:id="0"/>
      <w:r>
        <w:rPr>
          <w:rFonts w:cs="Arial Unicode MS" w:eastAsia="Arial Unicode MS"/>
          <w:rtl w:val="0"/>
          <w:lang w:val="en-US"/>
        </w:rPr>
        <w:t>Overview &amp; Objectives</w:t>
      </w:r>
      <w:bookmarkEnd w:id="0"/>
    </w:p>
    <w:p>
      <w:pPr>
        <w:pStyle w:val="Standard"/>
      </w:pPr>
      <w:r>
        <w:rPr>
          <w:outline w:val="0"/>
          <w:color w:val="333333"/>
          <w:sz w:val="22"/>
          <w:szCs w:val="22"/>
          <w:u w:color="333333"/>
          <w:rtl w:val="0"/>
          <w:lang w:val="en-US"/>
          <w14:textFill>
            <w14:solidFill>
              <w14:srgbClr w14:val="333333"/>
            </w14:solidFill>
          </w14:textFill>
        </w:rPr>
        <w:t>This document defines the complete technical specification for deploying the frontend application to production and staging environments. It is intended for engineers, DevOps personnel, and QA teams responsible for building, releasing, and validating frontend releases.</w:t>
      </w:r>
    </w:p>
    <w:p>
      <w:pPr>
        <w:pStyle w:val="Standard"/>
      </w:pPr>
      <w:r>
        <w:rPr>
          <w:outline w:val="0"/>
          <w:color w:val="333333"/>
          <w:sz w:val="22"/>
          <w:szCs w:val="22"/>
          <w:u w:color="333333"/>
          <w:rtl w:val="0"/>
          <w:lang w:val="en-US"/>
          <w14:textFill>
            <w14:solidFill>
              <w14:srgbClr w14:val="333333"/>
            </w14:solidFill>
          </w14:textFill>
        </w:rPr>
        <w:t>The primary objective is to establish a consistent, repeatable, and auditable deployment process that minimises downtime, reduces configuration drift between environments, and ensures every release meets the required quality gates before reaching end users.</w:t>
      </w:r>
    </w:p>
    <w:p>
      <w:pPr>
        <w:pStyle w:val="Standard"/>
      </w:pPr>
      <w:r>
        <w:rPr>
          <w:outline w:val="0"/>
          <w:color w:val="333333"/>
          <w:sz w:val="22"/>
          <w:szCs w:val="22"/>
          <w:u w:color="333333"/>
          <w:rtl w:val="0"/>
          <w:lang w:val="en-US"/>
          <w14:textFill>
            <w14:solidFill>
              <w14:srgbClr w14:val="333333"/>
            </w14:solidFill>
          </w14:textFill>
        </w:rPr>
        <w:t>Secondary objectives include standardising environment configuration values, defining clear rollback criteria in the event of a failed release, and documenting the API contracts the frontend depends on so integration issues are caught before deployment rather than after.</w:t>
      </w:r>
    </w:p>
    <w:p>
      <w:pPr>
        <w:pStyle w:val="Heading"/>
      </w:pPr>
      <w:bookmarkStart w:name="_Toc1" w:id="1"/>
      <w:r>
        <w:rPr>
          <w:rFonts w:cs="Arial Unicode MS" w:eastAsia="Arial Unicode MS"/>
          <w:rtl w:val="0"/>
          <w:lang w:val="en-US"/>
        </w:rPr>
        <w:t>System Requirements</w:t>
      </w:r>
      <w:bookmarkEnd w:id="1"/>
    </w:p>
    <w:p>
      <w:pPr>
        <w:pStyle w:val="Heading"/>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20"/>
        <w:gridCol w:w="3120"/>
        <w:gridCol w:w="3120"/>
      </w:tblGrid>
      <w:tr>
        <w:tblPrEx>
          <w:shd w:val="clear" w:color="auto" w:fill="4f81bd"/>
        </w:tblPrEx>
        <w:trPr>
          <w:trHeight w:val="214" w:hRule="atLeast"/>
          <w:tblHeader/>
        </w:trPr>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14:textFill>
                  <w14:solidFill>
                    <w14:srgbClr w14:val="FFFFFF"/>
                  </w14:solidFill>
                </w14:textFill>
              </w:rPr>
              <w:t>Category</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Requirement</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de-DE"/>
                <w14:textFill>
                  <w14:solidFill>
                    <w14:srgbClr w14:val="FFFFFF"/>
                  </w14:solidFill>
                </w14:textFill>
              </w:rPr>
              <w:t>Notes</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Node.js Runtime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v20.x LTS or higher</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Required for build tooling and SSR</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Package Manager</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pnpm 9.x</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Lockfile committed to repository</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Browser Support</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Last 2 versions of Chrome, Edge, Firefox, Safari</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No IE11 support</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Build Memory</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4 GB minimum, 8 GB recommended</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CI runner allocation</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CDN / Static Hosting</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HTTP/2 or HTTP/3 capable edge network</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Required for asset delivery</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TLS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TLS 1.2 minimum, TLS 1.3 preferred</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Enforced at load balancer</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pt-PT"/>
                <w14:textFill>
                  <w14:solidFill>
                    <w14:srgbClr w14:val="333333"/>
                  </w14:solidFill>
                </w14:textFill>
              </w:rPr>
              <w:t>CI/CD Platform</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GitHub Actions or equivalent</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Pipeline defined in repository</w:t>
            </w:r>
          </w:p>
        </w:tc>
      </w:tr>
    </w:tbl>
    <w:p>
      <w:pPr>
        <w:pStyle w:val="Heading"/>
        <w:widowControl w:val="0"/>
      </w:pPr>
    </w:p>
    <w:p>
      <w:pPr>
        <w:pStyle w:val="Heading"/>
        <w:widowControl w:val="0"/>
      </w:pPr>
    </w:p>
    <w:p>
      <w:pPr>
        <w:pStyle w:val="Heading"/>
      </w:pPr>
      <w:bookmarkStart w:name="_Toc2" w:id="2"/>
      <w:r>
        <w:rPr>
          <w:rFonts w:cs="Arial Unicode MS" w:eastAsia="Arial Unicode MS"/>
          <w:rtl w:val="0"/>
          <w:lang w:val="en-US"/>
        </w:rPr>
        <w:t>Architecture Summary</w:t>
      </w:r>
      <w:bookmarkEnd w:id="2"/>
    </w:p>
    <w:p>
      <w:pPr>
        <w:pStyle w:val="Standard"/>
      </w:pPr>
      <w:r>
        <w:rPr>
          <w:outline w:val="0"/>
          <w:color w:val="333333"/>
          <w:sz w:val="22"/>
          <w:szCs w:val="22"/>
          <w:u w:color="333333"/>
          <w:rtl w:val="0"/>
          <w:lang w:val="en-US"/>
          <w14:textFill>
            <w14:solidFill>
              <w14:srgbClr w14:val="333333"/>
            </w14:solidFill>
          </w14:textFill>
        </w:rPr>
        <w:t>The frontend is a statically generated single-page application, built once per release and served from a global content delivery network. Dynamic data is retrieved client-side through a versioned REST API gateway, with authentication handled via short-lived bearer tokens.</w:t>
      </w:r>
    </w:p>
    <w:p>
      <w:pPr>
        <w:pStyle w:val="Standard"/>
      </w:pPr>
      <w:r>
        <w:rPr>
          <w:outline w:val="0"/>
          <w:color w:val="333333"/>
          <w:sz w:val="22"/>
          <w:szCs w:val="22"/>
          <w:u w:color="333333"/>
          <w:rtl w:val="0"/>
          <w:lang w:val="en-US"/>
          <w14:textFill>
            <w14:solidFill>
              <w14:srgbClr w14:val="333333"/>
            </w14:solidFill>
          </w14:textFill>
        </w:rPr>
        <w:t>Build artifacts are produced by the CI pipeline, hashed for cache-busting, uploaded to object storage, and then promoted to the CDN edge through an atomic deployment switch. This ensures that partially uploaded releases are never served to end users.</w:t>
      </w:r>
    </w:p>
    <w:p>
      <w:pPr>
        <w:pStyle w:val="Standard"/>
      </w:pPr>
      <w:r>
        <w:rPr>
          <w:outline w:val="0"/>
          <w:color w:val="333333"/>
          <w:sz w:val="22"/>
          <w:szCs w:val="22"/>
          <w:u w:color="333333"/>
          <w:rtl w:val="0"/>
          <w:lang w:val="en-US"/>
          <w14:textFill>
            <w14:solidFill>
              <w14:srgbClr w14:val="333333"/>
            </w14:solidFill>
          </w14:textFill>
        </w:rPr>
        <w:t>Environment-specific behaviour (API endpoints, feature flags, analytics keys) is injected at build time via environment variables rather than hard-coded, allowing the same build pipeline to produce artifacts for development, staging, and production without code changes.</w:t>
      </w:r>
    </w:p>
    <w:p>
      <w:pPr>
        <w:pStyle w:val="Heading"/>
      </w:pPr>
      <w:bookmarkStart w:name="_Toc3" w:id="3"/>
      <w:r>
        <w:rPr>
          <w:rFonts w:cs="Arial Unicode MS" w:eastAsia="Arial Unicode MS"/>
          <w:rtl w:val="0"/>
          <w:lang w:val="en-US"/>
        </w:rPr>
        <w:t>Component Breakdown</w:t>
      </w:r>
      <w:bookmarkEnd w:id="3"/>
    </w:p>
    <w:p>
      <w:pPr>
        <w:pStyle w:val="Heading"/>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20"/>
        <w:gridCol w:w="3120"/>
        <w:gridCol w:w="3120"/>
      </w:tblGrid>
      <w:tr>
        <w:tblPrEx>
          <w:shd w:val="clear" w:color="auto" w:fill="4f81bd"/>
        </w:tblPrEx>
        <w:trPr>
          <w:trHeight w:val="214" w:hRule="atLeast"/>
          <w:tblHeader/>
        </w:trPr>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it-IT"/>
                <w14:textFill>
                  <w14:solidFill>
                    <w14:srgbClr w14:val="FFFFFF"/>
                  </w14:solidFill>
                </w14:textFill>
              </w:rPr>
              <w:t>Component</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Responsibility</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Key Technology</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App Shell</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Routing, layout, global state providers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React, React Router</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Design System</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Shared UI primitives and theming</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Styled Components, Tokens</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Data Layer</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API client, caching, request retries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TanStack Query, Axios</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Auth Module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Session handling, token refresh</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OIDC client, JWT</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Build Pipeline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Bundling, minification, hashing</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Vite, Rollup</w:t>
            </w:r>
          </w:p>
        </w:tc>
      </w:tr>
      <w:tr>
        <w:tblPrEx>
          <w:shd w:val="clear" w:color="auto" w:fill="ced7e7"/>
        </w:tblPrEx>
        <w:trPr>
          <w:trHeight w:val="476"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14:textFill>
                  <w14:solidFill>
                    <w14:srgbClr w14:val="333333"/>
                  </w14:solidFill>
                </w14:textFill>
              </w:rPr>
              <w:t>Monitoring</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Error tracking and performance metrics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Sentry, Web Vitals</w:t>
            </w:r>
          </w:p>
        </w:tc>
      </w:tr>
    </w:tbl>
    <w:p>
      <w:pPr>
        <w:pStyle w:val="Heading"/>
        <w:widowControl w:val="0"/>
      </w:pPr>
    </w:p>
    <w:p>
      <w:pPr>
        <w:pStyle w:val="Heading"/>
        <w:widowControl w:val="0"/>
      </w:pPr>
    </w:p>
    <w:p>
      <w:pPr>
        <w:pStyle w:val="Heading"/>
      </w:pPr>
      <w:bookmarkStart w:name="_Toc4" w:id="4"/>
      <w:r>
        <w:rPr>
          <w:rFonts w:cs="Arial Unicode MS" w:eastAsia="Arial Unicode MS"/>
          <w:rtl w:val="0"/>
          <w:lang w:val="en-US"/>
        </w:rPr>
        <w:t>API Integration Requirements</w:t>
      </w:r>
      <w:bookmarkEnd w:id="4"/>
    </w:p>
    <w:p>
      <w:pPr>
        <w:pStyle w:val="Standard"/>
      </w:pPr>
      <w:r>
        <w:rPr>
          <w:outline w:val="0"/>
          <w:color w:val="333333"/>
          <w:sz w:val="22"/>
          <w:szCs w:val="22"/>
          <w:u w:color="333333"/>
          <w:rtl w:val="0"/>
          <w:lang w:val="en-US"/>
          <w14:textFill>
            <w14:solidFill>
              <w14:srgbClr w14:val="333333"/>
            </w14:solidFill>
          </w14:textFill>
        </w:rPr>
        <w:t>All frontend data access must go through the versioned API gateway at the path prefix shown below. Direct calls to internal services are prohibited from client code.</w:t>
      </w:r>
    </w:p>
    <w:p>
      <w:pPr>
        <w:pStyle w:val="Standard"/>
      </w:pPr>
      <w:r>
        <w:rPr>
          <w:outline w:val="0"/>
          <w:color w:val="333333"/>
          <w:sz w:val="22"/>
          <w:szCs w:val="22"/>
          <w:u w:color="333333"/>
          <w:rtl w:val="0"/>
          <w:lang w:val="en-US"/>
          <w14:textFill>
            <w14:solidFill>
              <w14:srgbClr w14:val="333333"/>
            </w14:solidFill>
          </w14:textFill>
        </w:rPr>
        <w:t>Every request must include a valid bearer token in the Authorization header. Tokens are refreshed automatically by the Auth Module when fewer than 5 minutes of validity remain. Requests that receive a 401 response must trigger a single silent refresh attempt before falling back to a login redirect.</w:t>
      </w:r>
    </w:p>
    <w:p>
      <w:pPr>
        <w:pStyle w:val="Heading"/>
      </w:pPr>
      <w:bookmarkStart w:name="_Toc5" w:id="5"/>
      <w:r>
        <w:rPr>
          <w:rFonts w:cs="Arial Unicode MS" w:eastAsia="Arial Unicode MS"/>
          <w:rtl w:val="0"/>
          <w:lang w:val="en-US"/>
        </w:rPr>
        <w:t>Environment Configuration</w:t>
      </w:r>
      <w:bookmarkEnd w:id="5"/>
    </w:p>
    <w:p>
      <w:pPr>
        <w:pStyle w:val="Heading"/>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40"/>
        <w:gridCol w:w="2340"/>
        <w:gridCol w:w="2340"/>
        <w:gridCol w:w="2340"/>
      </w:tblGrid>
      <w:tr>
        <w:tblPrEx>
          <w:shd w:val="clear" w:color="auto" w:fill="4f81bd"/>
        </w:tblPrEx>
        <w:trPr>
          <w:trHeight w:val="214" w:hRule="atLeast"/>
          <w:tblHeader/>
        </w:trPr>
        <w:tc>
          <w:tcPr>
            <w:tcW w:type="dxa" w:w="234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fr-FR"/>
                <w14:textFill>
                  <w14:solidFill>
                    <w14:srgbClr w14:val="FFFFFF"/>
                  </w14:solidFill>
                </w14:textFill>
              </w:rPr>
              <w:t>Variable</w:t>
            </w:r>
          </w:p>
        </w:tc>
        <w:tc>
          <w:tcPr>
            <w:tcW w:type="dxa" w:w="234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Development</w:t>
            </w:r>
          </w:p>
        </w:tc>
        <w:tc>
          <w:tcPr>
            <w:tcW w:type="dxa" w:w="234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Staging</w:t>
            </w:r>
          </w:p>
        </w:tc>
        <w:tc>
          <w:tcPr>
            <w:tcW w:type="dxa" w:w="234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fr-FR"/>
                <w14:textFill>
                  <w14:solidFill>
                    <w14:srgbClr w14:val="FFFFFF"/>
                  </w14:solidFill>
                </w14:textFill>
              </w:rPr>
              <w:t>Production</w:t>
            </w:r>
          </w:p>
        </w:tc>
      </w:tr>
      <w:tr>
        <w:tblPrEx>
          <w:shd w:val="clear" w:color="auto" w:fill="ced7e7"/>
        </w:tblPrEx>
        <w:trPr>
          <w:trHeight w:val="214"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NODE_ENV</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development</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it-IT"/>
                <w14:textFill>
                  <w14:solidFill>
                    <w14:srgbClr w14:val="333333"/>
                  </w14:solidFill>
                </w14:textFill>
              </w:rPr>
              <w:t>staging</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fr-FR"/>
                <w14:textFill>
                  <w14:solidFill>
                    <w14:srgbClr w14:val="333333"/>
                  </w14:solidFill>
                </w14:textFill>
              </w:rPr>
              <w:t>production</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API_BASE_URL</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instrText xml:space="preserve"> HYPERLINK "http://localhost:4000"</w:instrText>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0"/>
                <w:szCs w:val="20"/>
                <w:u w:val="single" w:color="0057b8"/>
                <w:shd w:val="nil" w:color="auto" w:fill="auto"/>
                <w:rtl w:val="0"/>
                <w:lang w:val="pt-PT"/>
                <w14:textFill>
                  <w14:solidFill>
                    <w14:srgbClr w14:val="0057B8"/>
                  </w14:solidFill>
                </w14:textFill>
              </w:rPr>
              <w:t>http://localhost:4000</w:t>
            </w:r>
            <w:r>
              <w:rPr>
                <w:rFonts w:ascii="Times New Roman" w:cs="Times New Roman" w:hAnsi="Times New Roman" w:eastAsia="Times New Roman"/>
                <w:sz w:val="20"/>
                <w:szCs w:val="20"/>
                <w:rtl w:val="0"/>
              </w:rPr>
              <w:fldChar w:fldCharType="end" w:fldLock="0"/>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instrText xml:space="preserve"> HYPERLINK "https://staging-api.example.com"</w:instrText>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0"/>
                <w:szCs w:val="20"/>
                <w:u w:val="single" w:color="0057b8"/>
                <w:shd w:val="nil" w:color="auto" w:fill="auto"/>
                <w:rtl w:val="0"/>
                <w:lang w:val="en-US"/>
                <w14:textFill>
                  <w14:solidFill>
                    <w14:srgbClr w14:val="0057B8"/>
                  </w14:solidFill>
                </w14:textFill>
              </w:rPr>
              <w:t>https://staging-api.example.com</w:t>
            </w:r>
            <w:r>
              <w:rPr>
                <w:rFonts w:ascii="Times New Roman" w:cs="Times New Roman" w:hAnsi="Times New Roman" w:eastAsia="Times New Roman"/>
                <w:sz w:val="20"/>
                <w:szCs w:val="20"/>
                <w:rtl w:val="0"/>
              </w:rPr>
              <w:fldChar w:fldCharType="end" w:fldLock="0"/>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instrText xml:space="preserve"> HYPERLINK "https://api.example.com"</w:instrText>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0"/>
                <w:szCs w:val="20"/>
                <w:u w:val="single" w:color="0057b8"/>
                <w:shd w:val="nil" w:color="auto" w:fill="auto"/>
                <w:rtl w:val="0"/>
                <w:lang w:val="en-US"/>
                <w14:textFill>
                  <w14:solidFill>
                    <w14:srgbClr w14:val="0057B8"/>
                  </w14:solidFill>
                </w14:textFill>
              </w:rPr>
              <w:t>https://api.example.com</w:t>
            </w:r>
            <w:r>
              <w:rPr>
                <w:rFonts w:ascii="Times New Roman" w:cs="Times New Roman" w:hAnsi="Times New Roman" w:eastAsia="Times New Roman"/>
                <w:sz w:val="20"/>
                <w:szCs w:val="20"/>
                <w:rtl w:val="0"/>
              </w:rPr>
              <w:fldChar w:fldCharType="end" w:fldLock="0"/>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CDN_BASE_URL</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14:textFill>
                  <w14:solidFill>
                    <w14:srgbClr w14:val="333333"/>
                  </w14:solidFill>
                </w14:textFill>
              </w:rPr>
              <w:t>n/a</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instrText xml:space="preserve"> HYPERLINK "https://staging-cdn.example.com"</w:instrText>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0"/>
                <w:szCs w:val="20"/>
                <w:u w:val="single" w:color="0057b8"/>
                <w:shd w:val="nil" w:color="auto" w:fill="auto"/>
                <w:rtl w:val="0"/>
                <w:lang w:val="en-US"/>
                <w14:textFill>
                  <w14:solidFill>
                    <w14:srgbClr w14:val="0057B8"/>
                  </w14:solidFill>
                </w14:textFill>
              </w:rPr>
              <w:t>https://staging-cdn.example.com</w:t>
            </w:r>
            <w:r>
              <w:rPr>
                <w:rFonts w:ascii="Times New Roman" w:cs="Times New Roman" w:hAnsi="Times New Roman" w:eastAsia="Times New Roman"/>
                <w:sz w:val="20"/>
                <w:szCs w:val="20"/>
                <w:rtl w:val="0"/>
              </w:rPr>
              <w:fldChar w:fldCharType="end" w:fldLock="0"/>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instrText xml:space="preserve"> HYPERLINK "https://cdn.example.com"</w:instrText>
            </w:r>
            <w:r>
              <w:rPr>
                <w:rStyle w:val="Hyperlink.0"/>
                <w:rFonts w:ascii="Times New Roman" w:cs="Times New Roman" w:hAnsi="Times New Roman" w:eastAsia="Times New Roman"/>
                <w:outline w:val="0"/>
                <w:color w:val="0057b8"/>
                <w:sz w:val="20"/>
                <w:szCs w:val="20"/>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0"/>
                <w:szCs w:val="20"/>
                <w:u w:val="single" w:color="0057b8"/>
                <w:shd w:val="nil" w:color="auto" w:fill="auto"/>
                <w:rtl w:val="0"/>
                <w:lang w:val="en-US"/>
                <w14:textFill>
                  <w14:solidFill>
                    <w14:srgbClr w14:val="0057B8"/>
                  </w14:solidFill>
                </w14:textFill>
              </w:rPr>
              <w:t>https://cdn.example.com</w:t>
            </w:r>
            <w:r>
              <w:rPr>
                <w:rFonts w:ascii="Times New Roman" w:cs="Times New Roman" w:hAnsi="Times New Roman" w:eastAsia="Times New Roman"/>
                <w:sz w:val="20"/>
                <w:szCs w:val="20"/>
                <w:rtl w:val="0"/>
              </w:rPr>
              <w:fldChar w:fldCharType="end" w:fldLock="0"/>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FEATURE_FLAGS_ENABLED</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true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true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da-DK"/>
                <w14:textFill>
                  <w14:solidFill>
                    <w14:srgbClr w14:val="333333"/>
                  </w14:solidFill>
                </w14:textFill>
              </w:rPr>
              <w:t>false</w:t>
            </w:r>
          </w:p>
        </w:tc>
      </w:tr>
      <w:tr>
        <w:tblPrEx>
          <w:shd w:val="clear" w:color="auto" w:fill="ced7e7"/>
        </w:tblPrEx>
        <w:trPr>
          <w:trHeight w:val="214"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SENTRY_DSN</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disabled</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it-IT"/>
                <w14:textFill>
                  <w14:solidFill>
                    <w14:srgbClr w14:val="333333"/>
                  </w14:solidFill>
                </w14:textFill>
              </w:rPr>
              <w:t>staging-dsn</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da-DK"/>
                <w14:textFill>
                  <w14:solidFill>
                    <w14:srgbClr w14:val="333333"/>
                  </w14:solidFill>
                </w14:textFill>
              </w:rPr>
              <w:t>prod-dsn</w:t>
            </w:r>
          </w:p>
        </w:tc>
      </w:tr>
      <w:tr>
        <w:tblPrEx>
          <w:shd w:val="clear" w:color="auto" w:fill="ced7e7"/>
        </w:tblPrEx>
        <w:trPr>
          <w:trHeight w:val="214"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LOG_LEVEL</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14:textFill>
                  <w14:solidFill>
                    <w14:srgbClr w14:val="333333"/>
                  </w14:solidFill>
                </w14:textFill>
              </w:rPr>
              <w:t>debug</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14:textFill>
                  <w14:solidFill>
                    <w14:srgbClr w14:val="333333"/>
                  </w14:solidFill>
                </w14:textFill>
              </w:rPr>
              <w:t>info</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de-DE"/>
                <w14:textFill>
                  <w14:solidFill>
                    <w14:srgbClr w14:val="333333"/>
                  </w14:solidFill>
                </w14:textFill>
              </w:rPr>
              <w:t>warn</w:t>
            </w:r>
          </w:p>
        </w:tc>
      </w:tr>
    </w:tbl>
    <w:p>
      <w:pPr>
        <w:pStyle w:val="Heading"/>
        <w:widowControl w:val="0"/>
      </w:pPr>
    </w:p>
    <w:p>
      <w:pPr>
        <w:pStyle w:val="Heading"/>
        <w:widowControl w:val="0"/>
      </w:pPr>
    </w:p>
    <w:p>
      <w:pPr>
        <w:pStyle w:val="Heading"/>
      </w:pPr>
      <w:bookmarkStart w:name="_Toc6" w:id="6"/>
      <w:r>
        <w:rPr>
          <w:rStyle w:val="None"/>
          <w:rFonts w:cs="Arial Unicode MS" w:eastAsia="Arial Unicode MS"/>
          <w:rtl w:val="0"/>
          <w:lang w:val="en-US"/>
        </w:rPr>
        <w:t>Deployment Process</w:t>
      </w:r>
      <w:bookmarkEnd w:id="6"/>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1.  </w:t>
      </w:r>
      <w:r>
        <w:rPr>
          <w:rStyle w:val="None"/>
          <w:outline w:val="0"/>
          <w:color w:val="333333"/>
          <w:sz w:val="22"/>
          <w:szCs w:val="22"/>
          <w:u w:color="333333"/>
          <w:rtl w:val="0"/>
          <w:lang w:val="en-US"/>
          <w14:textFill>
            <w14:solidFill>
              <w14:srgbClr w14:val="333333"/>
            </w14:solidFill>
          </w14:textFill>
        </w:rPr>
        <w:t>Merge the release branch into main after all required approvals and status checks pass.</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2.  </w:t>
      </w:r>
      <w:r>
        <w:rPr>
          <w:rStyle w:val="None"/>
          <w:outline w:val="0"/>
          <w:color w:val="333333"/>
          <w:sz w:val="22"/>
          <w:szCs w:val="22"/>
          <w:u w:color="333333"/>
          <w:rtl w:val="0"/>
          <w:lang w:val="en-US"/>
          <w14:textFill>
            <w14:solidFill>
              <w14:srgbClr w14:val="333333"/>
            </w14:solidFill>
          </w14:textFill>
        </w:rPr>
        <w:t>CI pipeline installs dependencies using the committed lockfile and runs the full lint, type-check, and unit test suite.</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3.  </w:t>
      </w:r>
      <w:r>
        <w:rPr>
          <w:rStyle w:val="None"/>
          <w:outline w:val="0"/>
          <w:color w:val="333333"/>
          <w:sz w:val="22"/>
          <w:szCs w:val="22"/>
          <w:u w:color="333333"/>
          <w:rtl w:val="0"/>
          <w:lang w:val="en-US"/>
          <w14:textFill>
            <w14:solidFill>
              <w14:srgbClr w14:val="333333"/>
            </w14:solidFill>
          </w14:textFill>
        </w:rPr>
        <w:t>Pipeline builds the production bundle with environment variables injected for the target environment.</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4.  </w:t>
      </w:r>
      <w:r>
        <w:rPr>
          <w:rStyle w:val="None"/>
          <w:outline w:val="0"/>
          <w:color w:val="333333"/>
          <w:sz w:val="22"/>
          <w:szCs w:val="22"/>
          <w:u w:color="333333"/>
          <w:rtl w:val="0"/>
          <w:lang w:val="en-US"/>
          <w14:textFill>
            <w14:solidFill>
              <w14:srgbClr w14:val="333333"/>
            </w14:solidFill>
          </w14:textFill>
        </w:rPr>
        <w:t>Build artifacts are hashed, packaged, and uploaded to versioned object storage.</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5.  </w:t>
      </w:r>
      <w:r>
        <w:rPr>
          <w:rStyle w:val="None"/>
          <w:outline w:val="0"/>
          <w:color w:val="333333"/>
          <w:sz w:val="22"/>
          <w:szCs w:val="22"/>
          <w:u w:color="333333"/>
          <w:rtl w:val="0"/>
          <w:lang w:val="en-US"/>
          <w14:textFill>
            <w14:solidFill>
              <w14:srgbClr w14:val="333333"/>
            </w14:solidFill>
          </w14:textFill>
        </w:rPr>
        <w:t>Automated smoke tests run against the uploaded artifact in an isolated preview URL.</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6.  </w:t>
      </w:r>
      <w:r>
        <w:rPr>
          <w:rStyle w:val="None"/>
          <w:outline w:val="0"/>
          <w:color w:val="333333"/>
          <w:sz w:val="22"/>
          <w:szCs w:val="22"/>
          <w:u w:color="333333"/>
          <w:rtl w:val="0"/>
          <w:lang w:val="en-US"/>
          <w14:textFill>
            <w14:solidFill>
              <w14:srgbClr w14:val="333333"/>
            </w14:solidFill>
          </w14:textFill>
        </w:rPr>
        <w:t>On successful smoke tests, the deployment is promoted by atomically updating the CDN origin pointer to the new artifact version.</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7.  </w:t>
      </w:r>
      <w:r>
        <w:rPr>
          <w:rStyle w:val="None"/>
          <w:outline w:val="0"/>
          <w:color w:val="333333"/>
          <w:sz w:val="22"/>
          <w:szCs w:val="22"/>
          <w:u w:color="333333"/>
          <w:rtl w:val="0"/>
          <w:lang w:val="en-US"/>
          <w14:textFill>
            <w14:solidFill>
              <w14:srgbClr w14:val="333333"/>
            </w14:solidFill>
          </w14:textFill>
        </w:rPr>
        <w:t>Post-deployment health checks confirm HTTP 200 responses on key routes and validate API connectivity.</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8.  </w:t>
      </w:r>
      <w:r>
        <w:rPr>
          <w:rStyle w:val="None"/>
          <w:outline w:val="0"/>
          <w:color w:val="333333"/>
          <w:sz w:val="22"/>
          <w:szCs w:val="22"/>
          <w:u w:color="333333"/>
          <w:rtl w:val="0"/>
          <w:lang w:val="en-US"/>
          <w14:textFill>
            <w14:solidFill>
              <w14:srgbClr w14:val="333333"/>
            </w14:solidFill>
          </w14:textFill>
        </w:rPr>
        <w:t>Release is tagged in version control and the deployment is recorded in the release log with timestamp and artifact hash.</w:t>
      </w:r>
    </w:p>
    <w:p>
      <w:pPr>
        <w:pStyle w:val="Standard"/>
        <w:spacing w:after="120"/>
        <w:ind w:left="360" w:firstLine="0"/>
      </w:pPr>
    </w:p>
    <w:p>
      <w:pPr>
        <w:pStyle w:val="Heading"/>
      </w:pPr>
      <w:bookmarkStart w:name="_Toc7" w:id="7"/>
      <w:r>
        <w:rPr>
          <w:rStyle w:val="None"/>
          <w:rFonts w:cs="Arial Unicode MS" w:eastAsia="Arial Unicode MS"/>
          <w:rtl w:val="0"/>
          <w:lang w:val="en-US"/>
        </w:rPr>
        <w:t>Testing &amp; QA Criteria</w:t>
      </w:r>
      <w:bookmarkEnd w:id="7"/>
    </w:p>
    <w:p>
      <w:pPr>
        <w:pStyle w:val="Heading"/>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20"/>
        <w:gridCol w:w="3120"/>
        <w:gridCol w:w="3120"/>
      </w:tblGrid>
      <w:tr>
        <w:tblPrEx>
          <w:shd w:val="clear" w:color="auto" w:fill="4f81bd"/>
        </w:tblPrEx>
        <w:trPr>
          <w:trHeight w:val="214" w:hRule="atLeast"/>
          <w:tblHeader/>
        </w:trPr>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b w:val="1"/>
                <w:bCs w:val="1"/>
                <w:outline w:val="0"/>
                <w:color w:val="ffffff"/>
                <w:sz w:val="20"/>
                <w:szCs w:val="20"/>
                <w:u w:color="ffffff"/>
                <w:shd w:val="nil" w:color="auto" w:fill="auto"/>
                <w:rtl w:val="0"/>
                <w:lang w:val="it-IT"/>
                <w14:textFill>
                  <w14:solidFill>
                    <w14:srgbClr w14:val="FFFFFF"/>
                  </w14:solidFill>
                </w14:textFill>
              </w:rPr>
              <w:t>Criteria</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b w:val="1"/>
                <w:bCs w:val="1"/>
                <w:outline w:val="0"/>
                <w:color w:val="ffffff"/>
                <w:sz w:val="20"/>
                <w:szCs w:val="20"/>
                <w:u w:color="ffffff"/>
                <w:shd w:val="nil" w:color="auto" w:fill="auto"/>
                <w:rtl w:val="0"/>
                <w:lang w:val="da-DK"/>
                <w14:textFill>
                  <w14:solidFill>
                    <w14:srgbClr w14:val="FFFFFF"/>
                  </w14:solidFill>
                </w14:textFill>
              </w:rPr>
              <w:t>Threshold</w:t>
            </w:r>
          </w:p>
        </w:tc>
        <w:tc>
          <w:tcPr>
            <w:tcW w:type="dxa" w:w="3120"/>
            <w:tcBorders>
              <w:top w:val="single" w:color="4a6b8a" w:sz="1" w:space="0" w:shadow="0" w:frame="0"/>
              <w:left w:val="single" w:color="4a6b8a" w:sz="1" w:space="0" w:shadow="0" w:frame="0"/>
              <w:bottom w:val="single" w:color="e0e0e0" w:sz="1" w:space="0" w:shadow="0" w:frame="0"/>
              <w:right w:val="single" w:color="4a6b8a" w:sz="1" w:space="0" w:shadow="0" w:frame="0"/>
            </w:tcBorders>
            <w:shd w:val="clear" w:color="auto" w:fill="4a6b8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b w:val="1"/>
                <w:bCs w:val="1"/>
                <w:outline w:val="0"/>
                <w:color w:val="ffffff"/>
                <w:sz w:val="20"/>
                <w:szCs w:val="20"/>
                <w:u w:color="ffffff"/>
                <w:shd w:val="nil" w:color="auto" w:fill="auto"/>
                <w:rtl w:val="0"/>
                <w:lang w:val="fr-FR"/>
                <w14:textFill>
                  <w14:solidFill>
                    <w14:srgbClr w14:val="FFFFFF"/>
                  </w14:solidFill>
                </w14:textFill>
              </w:rPr>
              <w:t>Enforcement</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Unit Test Coverage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85% minimum on changed files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nl-NL"/>
                <w14:textFill>
                  <w14:solidFill>
                    <w14:srgbClr w14:val="333333"/>
                  </w14:solidFill>
                </w14:textFill>
              </w:rPr>
              <w:t>CI pipeline gate</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Type Checking</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Zero TypeScript errors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nl-NL"/>
                <w14:textFill>
                  <w14:solidFill>
                    <w14:srgbClr w14:val="333333"/>
                  </w14:solidFill>
                </w14:textFill>
              </w:rPr>
              <w:t>CI pipeline gate</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Accessibility (axe)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it-IT"/>
                <w14:textFill>
                  <w14:solidFill>
                    <w14:srgbClr w14:val="333333"/>
                  </w14:solidFill>
                </w14:textFill>
              </w:rPr>
              <w:t>Zero critical violations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Automated audit</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Lighthouse Performance</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Score of 85 or higher</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nl-NL"/>
                <w14:textFill>
                  <w14:solidFill>
                    <w14:srgbClr w14:val="333333"/>
                  </w14:solidFill>
                </w14:textFill>
              </w:rPr>
              <w:t>CI pipeline gate</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Cross-Browser Smoke Test</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Pass on all supported browsers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Automated + manual spot check</w:t>
            </w:r>
          </w:p>
        </w:tc>
      </w:tr>
      <w:tr>
        <w:tblPrEx>
          <w:shd w:val="clear" w:color="auto" w:fill="ced7e7"/>
        </w:tblPrEx>
        <w:trPr>
          <w:trHeight w:val="214" w:hRule="atLeast"/>
        </w:trPr>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pt-PT"/>
                <w14:textFill>
                  <w14:solidFill>
                    <w14:srgbClr w14:val="333333"/>
                  </w14:solidFill>
                </w14:textFill>
              </w:rPr>
              <w:t>Visual Regression</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No unapproved diffs</w:t>
            </w:r>
          </w:p>
        </w:tc>
        <w:tc>
          <w:tcPr>
            <w:tcW w:type="dxa" w:w="312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Style w:val="None"/>
                <w:rFonts w:ascii="Times New Roman" w:hAnsi="Times New Roman"/>
                <w:outline w:val="0"/>
                <w:color w:val="333333"/>
                <w:sz w:val="20"/>
                <w:szCs w:val="20"/>
                <w:u w:color="333333"/>
                <w:shd w:val="nil" w:color="auto" w:fill="auto"/>
                <w:rtl w:val="0"/>
                <w:lang w:val="en-US"/>
                <w14:textFill>
                  <w14:solidFill>
                    <w14:srgbClr w14:val="333333"/>
                  </w14:solidFill>
                </w14:textFill>
              </w:rPr>
              <w:t>Snapshot comparison tool</w:t>
            </w:r>
          </w:p>
        </w:tc>
      </w:tr>
    </w:tbl>
    <w:p>
      <w:pPr>
        <w:pStyle w:val="Heading"/>
        <w:widowControl w:val="0"/>
      </w:pPr>
    </w:p>
    <w:p>
      <w:pPr>
        <w:pStyle w:val="Heading"/>
        <w:widowControl w:val="0"/>
      </w:pPr>
    </w:p>
    <w:p>
      <w:pPr>
        <w:pStyle w:val="Heading"/>
      </w:pPr>
      <w:bookmarkStart w:name="_Toc8" w:id="8"/>
      <w:r>
        <w:rPr>
          <w:rStyle w:val="None"/>
          <w:rFonts w:cs="Arial Unicode MS" w:eastAsia="Arial Unicode MS"/>
          <w:rtl w:val="0"/>
          <w:lang w:val="en-US"/>
        </w:rPr>
        <w:t>Rollback Plan</w:t>
      </w:r>
      <w:bookmarkEnd w:id="8"/>
    </w:p>
    <w:p>
      <w:pPr>
        <w:pStyle w:val="Standard"/>
      </w:pPr>
      <w:r>
        <w:rPr>
          <w:rStyle w:val="None"/>
          <w:outline w:val="0"/>
          <w:color w:val="333333"/>
          <w:sz w:val="22"/>
          <w:szCs w:val="22"/>
          <w:u w:color="333333"/>
          <w:rtl w:val="0"/>
          <w:lang w:val="en-US"/>
          <w14:textFill>
            <w14:solidFill>
              <w14:srgbClr w14:val="333333"/>
            </w14:solidFill>
          </w14:textFill>
        </w:rPr>
        <w:t>Because releases are promoted through an atomic pointer switch rather than an in-place overwrite, rollback is achieved by repointing the CDN origin back to the last known-good artifact version, which is retained in object storage for a minimum of 30 days.</w:t>
      </w:r>
    </w:p>
    <w:p>
      <w:pPr>
        <w:pStyle w:val="Standard"/>
      </w:pPr>
      <w:r>
        <w:rPr>
          <w:rStyle w:val="None"/>
          <w:outline w:val="0"/>
          <w:color w:val="333333"/>
          <w:sz w:val="22"/>
          <w:szCs w:val="22"/>
          <w:u w:color="333333"/>
          <w:rtl w:val="0"/>
          <w:lang w:val="en-US"/>
          <w14:textFill>
            <w14:solidFill>
              <w14:srgbClr w14:val="333333"/>
            </w14:solidFill>
          </w14:textFill>
        </w:rPr>
        <w:t>Rollback must be triggered immediately if any of the following are observed within 15 minutes of a release: error rate increase greater than 2 percent above baseline, a critical user-facing feature becoming unavailable, or failed health checks on key routes.</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1.  </w:t>
      </w:r>
      <w:r>
        <w:rPr>
          <w:rStyle w:val="None"/>
          <w:outline w:val="0"/>
          <w:color w:val="333333"/>
          <w:sz w:val="22"/>
          <w:szCs w:val="22"/>
          <w:u w:color="333333"/>
          <w:rtl w:val="0"/>
          <w:lang w:val="en-US"/>
          <w14:textFill>
            <w14:solidFill>
              <w14:srgbClr w14:val="333333"/>
            </w14:solidFill>
          </w14:textFill>
        </w:rPr>
        <w:t>On-call engineer confirms the incident against the rollback triggers defined above.</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2.  </w:t>
      </w:r>
      <w:r>
        <w:rPr>
          <w:rStyle w:val="None"/>
          <w:outline w:val="0"/>
          <w:color w:val="333333"/>
          <w:sz w:val="22"/>
          <w:szCs w:val="22"/>
          <w:u w:color="333333"/>
          <w:rtl w:val="0"/>
          <w:lang w:val="en-US"/>
          <w14:textFill>
            <w14:solidFill>
              <w14:srgbClr w14:val="333333"/>
            </w14:solidFill>
          </w14:textFill>
        </w:rPr>
        <w:t>Execute the rollback command to repoint the CDN origin to the previous artifact hash.</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3.  </w:t>
      </w:r>
      <w:r>
        <w:rPr>
          <w:rStyle w:val="None"/>
          <w:outline w:val="0"/>
          <w:color w:val="333333"/>
          <w:sz w:val="22"/>
          <w:szCs w:val="22"/>
          <w:u w:color="333333"/>
          <w:rtl w:val="0"/>
          <w:lang w:val="en-US"/>
          <w14:textFill>
            <w14:solidFill>
              <w14:srgbClr w14:val="333333"/>
            </w14:solidFill>
          </w14:textFill>
        </w:rPr>
        <w:t>Verify health checks return to baseline within 5 minutes of rollback execution.</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4.  </w:t>
      </w:r>
      <w:r>
        <w:rPr>
          <w:rStyle w:val="None"/>
          <w:outline w:val="0"/>
          <w:color w:val="333333"/>
          <w:sz w:val="22"/>
          <w:szCs w:val="22"/>
          <w:u w:color="333333"/>
          <w:rtl w:val="0"/>
          <w:lang w:val="en-US"/>
          <w14:textFill>
            <w14:solidFill>
              <w14:srgbClr w14:val="333333"/>
            </w14:solidFill>
          </w14:textFill>
        </w:rPr>
        <w:t>Notify stakeholders via the incident channel with root cause summary and rollback confirmation.</w:t>
      </w:r>
    </w:p>
    <w:p>
      <w:pPr>
        <w:pStyle w:val="Standard"/>
        <w:spacing w:after="120"/>
        <w:ind w:left="360" w:firstLine="0"/>
      </w:pPr>
      <w:r>
        <w:rPr>
          <w:rStyle w:val="None"/>
          <w:b w:val="1"/>
          <w:bCs w:val="1"/>
          <w:outline w:val="0"/>
          <w:color w:val="4a6b8a"/>
          <w:sz w:val="22"/>
          <w:szCs w:val="22"/>
          <w:u w:color="4a6b8a"/>
          <w:rtl w:val="0"/>
          <w14:textFill>
            <w14:solidFill>
              <w14:srgbClr w14:val="4A6B8A"/>
            </w14:solidFill>
          </w14:textFill>
        </w:rPr>
        <w:t xml:space="preserve">5.  </w:t>
      </w:r>
      <w:r>
        <w:rPr>
          <w:rStyle w:val="None"/>
          <w:outline w:val="0"/>
          <w:color w:val="333333"/>
          <w:sz w:val="22"/>
          <w:szCs w:val="22"/>
          <w:u w:color="333333"/>
          <w:rtl w:val="0"/>
          <w:lang w:val="en-US"/>
          <w14:textFill>
            <w14:solidFill>
              <w14:srgbClr w14:val="333333"/>
            </w14:solidFill>
          </w14:textFill>
        </w:rPr>
        <w:t>Schedule a post-incident review within 2 business days to document findings and preventative actions.</w:t>
      </w:r>
    </w:p>
    <w:p>
      <w:pPr>
        <w:pStyle w:val="Standard"/>
        <w:spacing w:after="120"/>
        <w:ind w:left="360" w:firstLine="0"/>
      </w:pPr>
    </w:p>
    <w:p>
      <w:pPr>
        <w:pStyle w:val="Heading"/>
      </w:pPr>
      <w:bookmarkStart w:name="_Toc9" w:id="9"/>
      <w:r>
        <w:rPr>
          <w:rStyle w:val="None"/>
          <w:rFonts w:cs="Arial Unicode MS" w:eastAsia="Arial Unicode MS"/>
          <w:rtl w:val="0"/>
          <w:lang w:val="da-DK"/>
        </w:rPr>
        <w:t xml:space="preserve">Appendix </w:t>
      </w:r>
      <w:r>
        <w:rPr>
          <w:rStyle w:val="None"/>
          <w:rFonts w:cs="Arial Unicode MS" w:eastAsia="Arial Unicode MS" w:hint="default"/>
          <w:rtl w:val="0"/>
          <w:lang w:val="en-US"/>
        </w:rPr>
        <w:t xml:space="preserve">— </w:t>
      </w:r>
      <w:r>
        <w:rPr>
          <w:rStyle w:val="None"/>
          <w:rFonts w:cs="Arial Unicode MS" w:eastAsia="Arial Unicode MS"/>
          <w:rtl w:val="0"/>
          <w:lang w:val="en-US"/>
        </w:rPr>
        <w:t>Glossary</w:t>
      </w:r>
      <w:bookmarkEnd w:id="9"/>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lang w:val="en-US"/>
                <w14:textFill>
                  <w14:solidFill>
                    <w14:srgbClr w14:val="4A6B8A"/>
                  </w14:solidFill>
                </w14:textFill>
              </w:rPr>
              <w:t>Atomic Deployment</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release strategy where traffic is switched to a new artifact in a single, indivisible operation, preventing partial rollouts.</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14:textFill>
                  <w14:solidFill>
                    <w14:srgbClr w14:val="4A6B8A"/>
                  </w14:solidFill>
                </w14:textFill>
              </w:rPr>
              <w:t>CDN</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 xml:space="preserve">Content Delivery Network </w:t>
            </w:r>
            <w:r>
              <w:rPr>
                <w:rStyle w:val="None"/>
                <w:rFonts w:ascii="Times New Roman" w:hAnsi="Times New Roman" w:hint="default"/>
                <w:outline w:val="0"/>
                <w:color w:val="333333"/>
                <w:sz w:val="22"/>
                <w:szCs w:val="22"/>
                <w:u w:color="333333"/>
                <w:shd w:val="nil" w:color="auto" w:fill="auto"/>
                <w:rtl w:val="0"/>
                <w:lang w:val="en-US"/>
                <w14:textFill>
                  <w14:solidFill>
                    <w14:srgbClr w14:val="333333"/>
                  </w14:solidFill>
                </w14:textFill>
              </w:rPr>
              <w:t xml:space="preserve">— </w:t>
            </w: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distributed set of edge servers that cache and serve static assets close to end users.</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lang w:val="en-US"/>
                <w14:textFill>
                  <w14:solidFill>
                    <w14:srgbClr w14:val="4A6B8A"/>
                  </w14:solidFill>
                </w14:textFill>
              </w:rPr>
              <w:t>Feature Flag</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configuration toggle that enables or disables functionality without requiring a new deployment.</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14:textFill>
                  <w14:solidFill>
                    <w14:srgbClr w14:val="4A6B8A"/>
                  </w14:solidFill>
                </w14:textFill>
              </w:rPr>
              <w:t>Smoke Test</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minimal set of automated checks run immediately after deployment to confirm basic functionality.</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14:textFill>
                  <w14:solidFill>
                    <w14:srgbClr w14:val="4A6B8A"/>
                  </w14:solidFill>
                </w14:textFill>
              </w:rPr>
              <w:t>SSR</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de-DE"/>
                <w14:textFill>
                  <w14:solidFill>
                    <w14:srgbClr w14:val="333333"/>
                  </w14:solidFill>
                </w14:textFill>
              </w:rPr>
              <w:t xml:space="preserve">Server-Side Rendering </w:t>
            </w:r>
            <w:r>
              <w:rPr>
                <w:rStyle w:val="None"/>
                <w:rFonts w:ascii="Times New Roman" w:hAnsi="Times New Roman" w:hint="default"/>
                <w:outline w:val="0"/>
                <w:color w:val="333333"/>
                <w:sz w:val="22"/>
                <w:szCs w:val="22"/>
                <w:u w:color="333333"/>
                <w:shd w:val="nil" w:color="auto" w:fill="auto"/>
                <w:rtl w:val="0"/>
                <w:lang w:val="en-US"/>
                <w14:textFill>
                  <w14:solidFill>
                    <w14:srgbClr w14:val="333333"/>
                  </w14:solidFill>
                </w14:textFill>
              </w:rPr>
              <w:t xml:space="preserve">— </w:t>
            </w: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generating HTML on the server prior to sending it to the client.</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14:textFill>
                  <w14:solidFill>
                    <w14:srgbClr w14:val="4A6B8A"/>
                  </w14:solidFill>
                </w14:textFill>
              </w:rPr>
              <w:t>Bearer Token</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short-lived credential passed in the Authorization header to authenticate API requests.</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lang w:val="en-US"/>
                <w14:textFill>
                  <w14:solidFill>
                    <w14:srgbClr w14:val="4A6B8A"/>
                  </w14:solidFill>
                </w14:textFill>
              </w:rPr>
              <w:t>Health Check</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An automated endpoint or route probe used to confirm a service is operating correctly post-deployment.</w:t>
            </w:r>
          </w:p>
        </w:tc>
      </w:tr>
      <w:tr>
        <w:tblPrEx>
          <w:shd w:val="clear" w:color="auto" w:fill="ced7e7"/>
        </w:tblPrEx>
        <w:trPr>
          <w:trHeight w:val="523"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4a6b8a"/>
                <w:sz w:val="22"/>
                <w:szCs w:val="22"/>
                <w:u w:color="4a6b8a"/>
                <w:shd w:val="nil" w:color="auto" w:fill="auto"/>
                <w:rtl w:val="0"/>
                <w:lang w:val="en-US"/>
                <w14:textFill>
                  <w14:solidFill>
                    <w14:srgbClr w14:val="4A6B8A"/>
                  </w14:solidFill>
                </w14:textFill>
              </w:rPr>
              <w:t>Artifact Hash</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content-derived checksum used to uniquely identify and cache-bust a specific build output.</w:t>
            </w:r>
          </w:p>
        </w:tc>
      </w:tr>
    </w:tbl>
    <w:p>
      <w:pPr>
        <w:pStyle w:val="Heading"/>
        <w:widowControl w:val="0"/>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TOC 1">
    <w:name w:val="TOC 1"/>
    <w:next w:val="TOC 1"/>
    <w:pPr>
      <w:keepNext w:val="0"/>
      <w:keepLines w:val="0"/>
      <w:pageBreakBefore w:val="0"/>
      <w:widowControl w:val="1"/>
      <w:shd w:val="clear" w:color="auto" w:fill="auto"/>
      <w:tabs>
        <w:tab w:val="right" w:pos="9026" w:leader="dot"/>
      </w:tabs>
      <w:suppressAutoHyphens w:val="0"/>
      <w:bidi w:val="0"/>
      <w:spacing w:before="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333333"/>
      <w:spacing w:val="0"/>
      <w:kern w:val="0"/>
      <w:position w:val="0"/>
      <w:sz w:val="22"/>
      <w:szCs w:val="22"/>
      <w:u w:val="none" w:color="333333"/>
      <w:shd w:val="nil" w:color="auto" w:fill="auto"/>
      <w:vertAlign w:val="baseline"/>
      <w14:textFill>
        <w14:solidFill>
          <w14:srgbClr w14:val="333333"/>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400" w:after="160" w:line="240" w:lineRule="auto"/>
      <w:ind w:left="0" w:right="0" w:firstLine="0"/>
      <w:jc w:val="left"/>
      <w:outlineLvl w:val="0"/>
    </w:pPr>
    <w:rPr>
      <w:rFonts w:ascii="Times New Roman" w:cs="Times New Roman" w:hAnsi="Times New Roman" w:eastAsia="Times New Roman"/>
      <w:b w:val="1"/>
      <w:bCs w:val="1"/>
      <w:i w:val="0"/>
      <w:iCs w:val="0"/>
      <w:caps w:val="0"/>
      <w:smallCaps w:val="0"/>
      <w:strike w:val="0"/>
      <w:dstrike w:val="0"/>
      <w:outline w:val="0"/>
      <w:color w:val="4a6b8a"/>
      <w:spacing w:val="0"/>
      <w:kern w:val="0"/>
      <w:position w:val="0"/>
      <w:sz w:val="32"/>
      <w:szCs w:val="32"/>
      <w:u w:val="none" w:color="4a6b8a"/>
      <w:shd w:val="nil" w:color="auto" w:fill="auto"/>
      <w:vertAlign w:val="baseline"/>
      <w14:textOutline>
        <w14:noFill/>
      </w14:textOutline>
      <w14:textFill>
        <w14:solidFill>
          <w14:srgbClr w14:val="4A6B8A"/>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57b8"/>
      <w:u w:val="single" w:color="0057b8"/>
      <w:shd w:val="nil" w:color="auto" w:fill="auto"/>
      <w14:textFill>
        <w14:solidFill>
          <w14:srgbClr w14:val="0057B8"/>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