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drawing xmlns:a="http://schemas.openxmlformats.org/drawingml/2006/main">
          <wp:inline distT="0" distB="0" distL="0" distR="0">
            <wp:extent cx="2066925" cy="3619500"/>
            <wp:effectExtent l="0" t="0" r="0" b="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619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A"/>
      </w:pPr>
      <w:r>
        <w:rPr>
          <w:rFonts w:ascii="Times New Roman" w:hAnsi="Times New Roman"/>
          <w:b w:val="1"/>
          <w:bCs w:val="1"/>
          <w:outline w:val="0"/>
          <w:color w:val="1b3a5c"/>
          <w:sz w:val="60"/>
          <w:szCs w:val="60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>Executive Summary</w:t>
      </w:r>
    </w:p>
    <w:p>
      <w:pPr>
        <w:pStyle w:val="Body A"/>
      </w:pPr>
      <w:r>
        <w:rPr>
          <w:rFonts w:ascii="Times New Roman" w:hAnsi="Times New Roman"/>
          <w:i w:val="1"/>
          <w:iCs w:val="1"/>
          <w:outline w:val="0"/>
          <w:color w:val="555555"/>
          <w:sz w:val="30"/>
          <w:szCs w:val="30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Quarterly Board Briefing</w:t>
      </w:r>
    </w:p>
    <w:p>
      <w:pPr>
        <w:pStyle w:val="Body A"/>
      </w:pPr>
      <w:r>
        <w:rPr>
          <w:outline w:val="0"/>
          <w:color w:val="777777"/>
          <w:u w:color="777777"/>
          <w:rtl w:val="0"/>
          <w:lang w:val="en-US"/>
          <w14:textFill>
            <w14:solidFill>
              <w14:srgbClr w14:val="777777"/>
            </w14:solidFill>
          </w14:textFill>
        </w:rPr>
        <w:t>Q3 FY2026</w:t>
      </w:r>
    </w:p>
    <w:p>
      <w:pPr>
        <w:pStyle w:val="Body A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  <w:r>
        <w:rPr>
          <w:rtl w:val="0"/>
          <w:lang w:val="en-US"/>
        </w:rPr>
        <w:t>Business Highlights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Total quarterly revenue reached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$10.4M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, up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+12% YoY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driven by strong performance across all three business segments.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Product Sales remained the largest contributor at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$5.2M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reflecting sustained demand in core markets.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Services revenue grew to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$3.8M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supported by expanded client engagements and renewal rates.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Licensing revenue contributed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$1.4M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, with new partnership agreements signed during the quarter.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Operational execution remained on track against board-approved milestones, with no material delivery slippage.</w:t>
      </w:r>
    </w:p>
    <w:p>
      <w:pPr>
        <w:pStyle w:val="List Paragraph"/>
        <w:spacing w:after="120"/>
      </w:pPr>
    </w:p>
    <w:p>
      <w:pPr>
        <w:pStyle w:val="Heading"/>
      </w:pPr>
      <w:r>
        <w:rPr>
          <w:rtl w:val="0"/>
          <w:lang w:val="en-US"/>
        </w:rPr>
        <w:t>Financial Snapshot</w:t>
      </w:r>
    </w:p>
    <w:p>
      <w:pPr>
        <w:pStyle w:val="Heading"/>
      </w:pP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0"/>
        <w:gridCol w:w="4680"/>
      </w:tblGrid>
      <w:tr>
        <w:tblPrEx>
          <w:shd w:val="clear" w:color="auto" w:fill="4f81bd"/>
        </w:tblPrEx>
        <w:trPr>
          <w:trHeight w:val="217" w:hRule="atLeast"/>
          <w:tblHeader/>
        </w:trPr>
        <w:tc>
          <w:tcPr>
            <w:tcW w:type="dxa" w:w="468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it-IT"/>
                <w14:textFill>
                  <w14:solidFill>
                    <w14:srgbClr w14:val="FFFFFF"/>
                  </w14:solidFill>
                </w14:textFill>
              </w:rPr>
              <w:t>Metric</w:t>
            </w:r>
          </w:p>
        </w:tc>
        <w:tc>
          <w:tcPr>
            <w:tcW w:type="dxa" w:w="4680"/>
            <w:tcBorders>
              <w:top w:val="single" w:color="1b3a5c" w:sz="1" w:space="0" w:shadow="0" w:frame="0"/>
              <w:left w:val="single" w:color="1b3a5c" w:sz="1" w:space="0" w:shadow="0" w:frame="0"/>
              <w:bottom w:val="single" w:color="e0e0e0" w:sz="1" w:space="0" w:shadow="0" w:frame="0"/>
              <w:right w:val="single" w:color="1b3a5c" w:sz="1" w:space="0" w:shadow="0" w:frame="0"/>
            </w:tcBorders>
            <w:shd w:val="clear" w:color="auto" w:fill="1b3a5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ffffff"/>
                <w:sz w:val="20"/>
                <w:szCs w:val="20"/>
                <w:u w:color="ffffff"/>
                <w:shd w:val="nil" w:color="auto" w:fill="auto"/>
                <w:rtl w:val="0"/>
                <w:lang w:val="it-IT"/>
                <w14:textFill>
                  <w14:solidFill>
                    <w14:srgbClr w14:val="FFFFFF"/>
                  </w14:solidFill>
                </w14:textFill>
              </w:rPr>
              <w:t>Value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Total Revenue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$10.4M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Revenue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Product Sales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$5.2M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Revenue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Services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$3.8M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fr-FR"/>
                <w14:textFill>
                  <w14:solidFill>
                    <w14:srgbClr w14:val="333333"/>
                  </w14:solidFill>
                </w14:textFill>
              </w:rPr>
              <w:t xml:space="preserve">Revenue </w:t>
            </w:r>
            <w:r>
              <w:rPr>
                <w:rFonts w:ascii="Times New Roman" w:hAnsi="Times New Roman" w:hint="default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 xml:space="preserve">— </w:t>
            </w: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Licensing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$1.4M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Net Profit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$2.1M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nl-NL"/>
                <w14:textFill>
                  <w14:solidFill>
                    <w14:srgbClr w14:val="333333"/>
                  </w14:solidFill>
                </w14:textFill>
              </w:rPr>
              <w:t>Net Margin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20.2%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Cash Reserves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8f9fa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$8.6M</w:t>
            </w:r>
          </w:p>
        </w:tc>
      </w:tr>
      <w:tr>
        <w:tblPrEx>
          <w:shd w:val="clear" w:color="auto" w:fill="ced7e7"/>
        </w:tblPrEx>
        <w:trPr>
          <w:trHeight w:val="217" w:hRule="atLeast"/>
        </w:trPr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en-US"/>
                <w14:textFill>
                  <w14:solidFill>
                    <w14:srgbClr w14:val="333333"/>
                  </w14:solidFill>
                </w14:textFill>
              </w:rPr>
              <w:t>Revenue Growth (YoY)</w:t>
            </w:r>
          </w:p>
        </w:tc>
        <w:tc>
          <w:tcPr>
            <w:tcW w:type="dxa" w:w="4680"/>
            <w:tcBorders>
              <w:top w:val="single" w:color="e0e0e0" w:sz="1" w:space="0" w:shadow="0" w:frame="0"/>
              <w:left w:val="single" w:color="e0e0e0" w:sz="1" w:space="0" w:shadow="0" w:frame="0"/>
              <w:bottom w:val="single" w:color="e0e0e0" w:sz="1" w:space="0" w:shadow="0" w:frame="0"/>
              <w:right w:val="single" w:color="e0e0e0" w:sz="1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b w:val="1"/>
                <w:bCs w:val="1"/>
                <w:outline w:val="0"/>
                <w:color w:val="333333"/>
                <w:sz w:val="20"/>
                <w:szCs w:val="20"/>
                <w:u w:color="333333"/>
                <w:shd w:val="nil" w:color="auto" w:fill="auto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+12%</w:t>
            </w:r>
          </w:p>
        </w:tc>
      </w:tr>
    </w:tbl>
    <w:p>
      <w:pPr>
        <w:pStyle w:val="Heading"/>
        <w:widowControl w:val="0"/>
        <w:ind w:left="108" w:hanging="108"/>
      </w:pPr>
    </w:p>
    <w:p>
      <w:pPr>
        <w:pStyle w:val="Heading"/>
        <w:widowControl w:val="0"/>
      </w:pPr>
    </w:p>
    <w:p>
      <w:pPr>
        <w:pStyle w:val="Heading"/>
        <w:widowControl w:val="0"/>
      </w:pPr>
    </w:p>
    <w:p>
      <w:pPr>
        <w:pStyle w:val="Standard"/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The quarter closed with a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20.2% net margin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, reflecting disciplined cost management alongside continued top-line growth. Cash reserves of </w:t>
      </w: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$8.6M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 provide a healthy liquidity buffer to support planned strategic investments in the coming quarter.</w:t>
      </w:r>
    </w:p>
    <w:p>
      <w:pPr>
        <w:pStyle w:val="Heading"/>
      </w:pPr>
      <w:r>
        <w:rPr>
          <w:rtl w:val="0"/>
          <w:lang w:val="en-US"/>
        </w:rPr>
        <w:t>Strategic Priorities</w:t>
      </w:r>
    </w:p>
    <w:p>
      <w:pPr>
        <w:pStyle w:val="Heading"/>
      </w:pPr>
      <w:r>
        <w:rPr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1.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Accelerate Services segment growth through expanded enterprise account coverage and renewal automation.</w:t>
      </w:r>
    </w:p>
    <w:p>
      <w:pPr>
        <w:pStyle w:val="Heading"/>
      </w:pPr>
      <w:r>
        <w:rPr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2.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Scale Licensing partnerships into two additional verticals identified during Q3 market analysis.</w:t>
      </w:r>
    </w:p>
    <w:p>
      <w:pPr>
        <w:pStyle w:val="Heading"/>
      </w:pPr>
      <w:r>
        <w:rPr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3.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Continue disciplined cost control to protect and extend the current 20.2% net margin.</w:t>
      </w:r>
    </w:p>
    <w:p>
      <w:pPr>
        <w:pStyle w:val="Heading"/>
      </w:pPr>
      <w:r>
        <w:rPr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4.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Advance the technology roadmap to support product differentiation heading into next fiscal year.</w:t>
      </w:r>
    </w:p>
    <w:p>
      <w:pPr>
        <w:pStyle w:val="Heading"/>
      </w:pPr>
      <w:r>
        <w:rPr>
          <w:outline w:val="0"/>
          <w:color w:val="1b3a5c"/>
          <w:sz w:val="22"/>
          <w:szCs w:val="22"/>
          <w:u w:color="1b3a5c"/>
          <w:rtl w:val="0"/>
          <w:lang w:val="en-US"/>
          <w14:textFill>
            <w14:solidFill>
              <w14:srgbClr w14:val="1B3A5C"/>
            </w14:solidFill>
          </w14:textFill>
        </w:rPr>
        <w:t xml:space="preserve">5.  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Strengthen talent pipeline in key growth functions ahead of planned market expansion.</w:t>
      </w:r>
    </w:p>
    <w:p>
      <w:pPr>
        <w:pStyle w:val="Heading"/>
      </w:pPr>
    </w:p>
    <w:p>
      <w:pPr>
        <w:pStyle w:val="Heading"/>
      </w:pPr>
      <w:r>
        <w:rPr>
          <w:rtl w:val="0"/>
          <w:lang w:val="en-US"/>
        </w:rPr>
        <w:t>Risks &amp; Outlook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it-IT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it-IT"/>
          <w14:textFill>
            <w14:solidFill>
              <w14:srgbClr w14:val="333333"/>
            </w14:solidFill>
          </w14:textFill>
        </w:rPr>
        <w:t>Macroeconomic sensitivity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: Continued monitoring of demand elasticity in core Product Sales markets.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fr-FR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fr-FR"/>
          <w14:textFill>
            <w14:solidFill>
              <w14:srgbClr w14:val="333333"/>
            </w14:solidFill>
          </w14:textFill>
        </w:rPr>
        <w:t>Talent retention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: Competitive hiring environment in growth functions poses execution risk to strategic priorities.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Concentration risk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: Licensing revenue remains reliant on a small number of key partnerships.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b w:val="1"/>
          <w:bCs w:val="1"/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Outlook</w:t>
      </w: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: Management expects continued revenue growth next quarter, with net margin holding near current levels assuming stable input costs.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sz w:val="22"/>
          <w:szCs w:val="22"/>
          <w:rtl w:val="0"/>
          <w:lang w:val="en-US"/>
        </w:rPr>
      </w:pPr>
      <w:r>
        <w:rPr>
          <w:outline w:val="0"/>
          <w:color w:val="333333"/>
          <w:sz w:val="22"/>
          <w:szCs w:val="22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Board is asked to note progress and approve continued investment allocation toward Services and Licensing expansion.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68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0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2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4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56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28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0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572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6447" w:hanging="32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0" w:after="16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b3a5c"/>
      <w:spacing w:val="0"/>
      <w:kern w:val="0"/>
      <w:position w:val="0"/>
      <w:sz w:val="32"/>
      <w:szCs w:val="32"/>
      <w:u w:val="none" w:color="1b3a5c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1B3A5C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